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761E77B6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AA434C">
        <w:rPr>
          <w:rFonts w:ascii="Arial" w:eastAsia="Calibri" w:hAnsi="Arial" w:cs="Arial"/>
          <w:sz w:val="32"/>
          <w:szCs w:val="32"/>
          <w:lang w:eastAsia="en-US"/>
        </w:rPr>
        <w:t>30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e </w:t>
      </w:r>
      <w:r w:rsidR="003B1716">
        <w:rPr>
          <w:rFonts w:ascii="Arial" w:eastAsia="Calibri" w:hAnsi="Arial" w:cs="Arial"/>
          <w:sz w:val="32"/>
          <w:szCs w:val="32"/>
          <w:lang w:eastAsia="en-US"/>
        </w:rPr>
        <w:t>24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712EB2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B1716">
        <w:rPr>
          <w:rFonts w:ascii="Arial" w:eastAsia="Calibri" w:hAnsi="Arial" w:cs="Arial"/>
          <w:sz w:val="32"/>
          <w:szCs w:val="32"/>
          <w:lang w:eastAsia="en-US"/>
        </w:rPr>
        <w:t>1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50B82023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B55271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0</w:t>
      </w:r>
      <w:r w:rsidR="003B1716">
        <w:rPr>
          <w:rFonts w:ascii="Arial" w:eastAsia="Calibri" w:hAnsi="Arial" w:cs="Arial"/>
          <w:sz w:val="32"/>
          <w:szCs w:val="32"/>
          <w:lang w:eastAsia="en-US"/>
        </w:rPr>
        <w:t>8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B1716">
        <w:rPr>
          <w:rFonts w:ascii="Arial" w:eastAsia="Calibri" w:hAnsi="Arial" w:cs="Arial"/>
          <w:sz w:val="32"/>
          <w:szCs w:val="32"/>
          <w:lang w:eastAsia="en-US"/>
        </w:rPr>
        <w:t>16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2834B94A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AA434C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  <w:r w:rsidR="00AA434C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D5614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7118743" w14:textId="40E81C14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A434C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AA434C">
        <w:rPr>
          <w:rFonts w:ascii="Arial" w:eastAsia="Calibri" w:hAnsi="Arial" w:cs="Arial"/>
          <w:sz w:val="24"/>
          <w:szCs w:val="24"/>
          <w:lang w:eastAsia="en-US"/>
        </w:rPr>
        <w:t>, Mgr. Stanislav Šimek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511CA9C2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B55271">
        <w:rPr>
          <w:rFonts w:ascii="Arial" w:eastAsia="Calibri" w:hAnsi="Arial" w:cs="Arial"/>
          <w:sz w:val="24"/>
          <w:szCs w:val="24"/>
          <w:lang w:eastAsia="en-US"/>
        </w:rPr>
        <w:t>7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</w:t>
      </w:r>
      <w:r w:rsidR="003F1797">
        <w:rPr>
          <w:rFonts w:ascii="Arial" w:eastAsia="Calibri" w:hAnsi="Arial" w:cs="Arial"/>
          <w:sz w:val="24"/>
          <w:szCs w:val="24"/>
          <w:lang w:eastAsia="en-US"/>
        </w:rPr>
        <w:t>0</w:t>
      </w:r>
      <w:r w:rsidR="003B1716">
        <w:rPr>
          <w:rFonts w:ascii="Arial" w:eastAsia="Calibri" w:hAnsi="Arial" w:cs="Arial"/>
          <w:sz w:val="24"/>
          <w:szCs w:val="24"/>
          <w:lang w:eastAsia="en-US"/>
        </w:rPr>
        <w:t>8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75C5017A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  <w:r w:rsidR="003829E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6C716740" w14:textId="77777777" w:rsidR="00104414" w:rsidRPr="00187030" w:rsidRDefault="00104414" w:rsidP="00187030">
      <w:pPr>
        <w:pStyle w:val="1Program"/>
      </w:pPr>
      <w:r w:rsidRPr="00187030">
        <w:t xml:space="preserve">Informace o průběhu veřejné zakázky: „Správa a údržba ploch veřejné zeleně na Praze 10 v oblasti Záběhlice“  </w:t>
      </w:r>
    </w:p>
    <w:p w14:paraId="5592E35B" w14:textId="77777777" w:rsidR="00104414" w:rsidRPr="00187030" w:rsidRDefault="00104414" w:rsidP="00187030">
      <w:pPr>
        <w:pStyle w:val="1Program"/>
      </w:pPr>
      <w:r w:rsidRPr="00187030">
        <w:t xml:space="preserve">Návrh rozpočtu v kapitole 0021 životní prostředí na rok 2026 </w:t>
      </w:r>
    </w:p>
    <w:p w14:paraId="7F29037B" w14:textId="6C87670D" w:rsidR="00104414" w:rsidRPr="00187030" w:rsidRDefault="00104414" w:rsidP="00187030">
      <w:pPr>
        <w:pStyle w:val="1Program"/>
      </w:pPr>
      <w:r w:rsidRPr="00187030">
        <w:t>Strategie pro Desítku – návrh Akčního plánu v oblasti životního prostředí</w:t>
      </w:r>
    </w:p>
    <w:p w14:paraId="63777553" w14:textId="77777777" w:rsidR="00104414" w:rsidRPr="00187030" w:rsidRDefault="00104414" w:rsidP="00187030">
      <w:pPr>
        <w:pStyle w:val="1Program"/>
      </w:pPr>
      <w:r w:rsidRPr="00187030">
        <w:t xml:space="preserve">Bezpečnostní řezy keřů na území Prahy </w:t>
      </w:r>
      <w:proofErr w:type="gramStart"/>
      <w:r w:rsidRPr="00187030">
        <w:t>10 – podzim</w:t>
      </w:r>
      <w:proofErr w:type="gramEnd"/>
      <w:r w:rsidRPr="00187030">
        <w:t xml:space="preserve"> 2025</w:t>
      </w:r>
    </w:p>
    <w:p w14:paraId="78DCE3DD" w14:textId="77777777" w:rsidR="00104414" w:rsidRPr="00187030" w:rsidRDefault="00104414" w:rsidP="00187030">
      <w:pPr>
        <w:pStyle w:val="1Program"/>
      </w:pPr>
      <w:r w:rsidRPr="00187030">
        <w:t>EIA zjišťovací řízení „Zařízení k odstraňování, sběru, výkupu a mechanické úpravě odpadů a zpracování elektrozařízení – listopad 2025“</w:t>
      </w:r>
    </w:p>
    <w:p w14:paraId="4D1E9902" w14:textId="77777777" w:rsidR="00104414" w:rsidRPr="00187030" w:rsidRDefault="00104414" w:rsidP="00187030">
      <w:pPr>
        <w:pStyle w:val="1Program"/>
      </w:pPr>
      <w:r w:rsidRPr="00187030">
        <w:t>Návrh na bezúplatný převod pozemků – veřejné prostranství a dětské hřiště, lokalita Malešická stráň (JRD Malešice s.r.o.)</w:t>
      </w:r>
    </w:p>
    <w:p w14:paraId="29E0C828" w14:textId="77777777" w:rsidR="00104414" w:rsidRPr="00187030" w:rsidRDefault="00104414" w:rsidP="00187030">
      <w:pPr>
        <w:pStyle w:val="1Program"/>
      </w:pPr>
      <w:r w:rsidRPr="00187030">
        <w:t xml:space="preserve">Návrh na budoucí bezúplatné nabytí pozemků – veřejný park, lokalita Polygrafická </w:t>
      </w:r>
      <w:r w:rsidRPr="00187030">
        <w:br/>
        <w:t>(Skanska Residential a.s.)</w:t>
      </w:r>
    </w:p>
    <w:p w14:paraId="2F6B659F" w14:textId="77777777" w:rsidR="00104414" w:rsidRPr="00187030" w:rsidRDefault="00104414" w:rsidP="00187030">
      <w:pPr>
        <w:pStyle w:val="1Program"/>
      </w:pPr>
      <w:r w:rsidRPr="00187030">
        <w:t>Různé + iniciativní návrhy členů VŽP</w:t>
      </w:r>
    </w:p>
    <w:p w14:paraId="16380F7C" w14:textId="77777777" w:rsidR="00285CF3" w:rsidRDefault="00285CF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D88395B" w14:textId="720DCB2A" w:rsidR="00040AE6" w:rsidRPr="00385794" w:rsidRDefault="00040AE6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DDDC1AA" w14:textId="236956E4" w:rsidR="00A46711" w:rsidRPr="00711CE0" w:rsidRDefault="00CD5614" w:rsidP="00711CE0">
      <w:pPr>
        <w:pStyle w:val="3Text"/>
      </w:pPr>
      <w:r w:rsidRPr="00711CE0">
        <w:t xml:space="preserve">Předseda výboru J. Štěpánek, MBA </w:t>
      </w:r>
      <w:r w:rsidR="004B04C3" w:rsidRPr="00711CE0">
        <w:t>zahájil jednání a přivítal člen</w:t>
      </w:r>
      <w:r w:rsidR="00187030" w:rsidRPr="00711CE0">
        <w:t>y</w:t>
      </w:r>
      <w:r w:rsidR="004B04C3" w:rsidRPr="00711CE0">
        <w:t xml:space="preserve">. </w:t>
      </w:r>
      <w:r w:rsidR="000204FF" w:rsidRPr="00711CE0">
        <w:t>Konstatoval, že zasedání výboru je usnášeníschopné.</w:t>
      </w:r>
    </w:p>
    <w:p w14:paraId="0DAFC915" w14:textId="24B6D99E" w:rsidR="00A46711" w:rsidRPr="00711CE0" w:rsidRDefault="00A46711" w:rsidP="00711CE0">
      <w:pPr>
        <w:pStyle w:val="3Text"/>
      </w:pPr>
      <w:r w:rsidRPr="00711CE0">
        <w:t>Jako</w:t>
      </w:r>
      <w:r w:rsidR="001762A2" w:rsidRPr="00711CE0">
        <w:t xml:space="preserve"> </w:t>
      </w:r>
      <w:r w:rsidRPr="00711CE0">
        <w:t xml:space="preserve">ověřovatel </w:t>
      </w:r>
      <w:r w:rsidR="00322C4F" w:rsidRPr="00711CE0">
        <w:t xml:space="preserve">zápisu </w:t>
      </w:r>
      <w:r w:rsidRPr="00711CE0">
        <w:t xml:space="preserve">byl určen </w:t>
      </w:r>
      <w:r w:rsidR="00007D90" w:rsidRPr="00711CE0">
        <w:t>M</w:t>
      </w:r>
      <w:r w:rsidR="00187030" w:rsidRPr="00711CE0">
        <w:t>. Dvořák, BBA</w:t>
      </w:r>
      <w:r w:rsidRPr="00711CE0">
        <w:t>.</w:t>
      </w:r>
    </w:p>
    <w:p w14:paraId="06EE433B" w14:textId="0353B8D5" w:rsidR="00CD5614" w:rsidRPr="00711CE0" w:rsidRDefault="00187030" w:rsidP="00711CE0">
      <w:pPr>
        <w:pStyle w:val="3Text"/>
      </w:pPr>
      <w:r w:rsidRPr="00711CE0">
        <w:t>Bc. Pecánek navrhl upravit názvy bodů 6 a 7.</w:t>
      </w:r>
    </w:p>
    <w:p w14:paraId="1B05B680" w14:textId="02265656" w:rsidR="003D0008" w:rsidRPr="00711CE0" w:rsidRDefault="008B4D85" w:rsidP="00711CE0">
      <w:pPr>
        <w:pStyle w:val="3Text"/>
      </w:pPr>
      <w:r w:rsidRPr="00711CE0">
        <w:t>Členové hlasovali o programu</w:t>
      </w:r>
      <w:r w:rsidR="000669B0" w:rsidRPr="00711CE0">
        <w:t xml:space="preserve"> v této podobě</w:t>
      </w:r>
      <w:r w:rsidR="003831BD" w:rsidRPr="00711CE0">
        <w:t>:</w:t>
      </w:r>
    </w:p>
    <w:p w14:paraId="414E1BCE" w14:textId="77777777" w:rsidR="00104414" w:rsidRPr="00711CE0" w:rsidRDefault="00104414" w:rsidP="003B1716">
      <w:pPr>
        <w:pStyle w:val="1Program"/>
        <w:numPr>
          <w:ilvl w:val="0"/>
          <w:numId w:val="28"/>
        </w:numPr>
      </w:pPr>
      <w:bookmarkStart w:id="1" w:name="_Hlk214976889"/>
      <w:r w:rsidRPr="00711CE0">
        <w:t xml:space="preserve">Informace o průběhu veřejné zakázky: „Správa a údržba ploch veřejné zeleně na Praze 10 v oblasti Záběhlice“  </w:t>
      </w:r>
    </w:p>
    <w:bookmarkEnd w:id="1"/>
    <w:p w14:paraId="6C8D89FF" w14:textId="7E98D49F" w:rsidR="00104414" w:rsidRPr="00711CE0" w:rsidRDefault="00104414" w:rsidP="003B1716">
      <w:pPr>
        <w:pStyle w:val="1Program"/>
        <w:numPr>
          <w:ilvl w:val="0"/>
          <w:numId w:val="28"/>
        </w:numPr>
      </w:pPr>
      <w:r w:rsidRPr="00711CE0">
        <w:lastRenderedPageBreak/>
        <w:t xml:space="preserve">Návrh rozpočtu v kapitole 0021 </w:t>
      </w:r>
      <w:r w:rsidR="00147A6F">
        <w:t>Ž</w:t>
      </w:r>
      <w:r w:rsidRPr="00711CE0">
        <w:t xml:space="preserve">ivotní prostředí na rok 2026 </w:t>
      </w:r>
    </w:p>
    <w:p w14:paraId="0CF3E584" w14:textId="77777777" w:rsidR="00104414" w:rsidRPr="00711CE0" w:rsidRDefault="00104414" w:rsidP="003B1716">
      <w:pPr>
        <w:pStyle w:val="1Program"/>
        <w:numPr>
          <w:ilvl w:val="0"/>
          <w:numId w:val="28"/>
        </w:numPr>
      </w:pPr>
      <w:bookmarkStart w:id="2" w:name="_Hlk214977270"/>
      <w:r w:rsidRPr="00711CE0">
        <w:t>Strategie pro Desítku – návrh Akčního plánu v oblasti životního prostředí</w:t>
      </w:r>
    </w:p>
    <w:bookmarkEnd w:id="2"/>
    <w:p w14:paraId="03B89F65" w14:textId="77777777" w:rsidR="00104414" w:rsidRPr="00711CE0" w:rsidRDefault="00104414" w:rsidP="003B1716">
      <w:pPr>
        <w:pStyle w:val="1Program"/>
        <w:numPr>
          <w:ilvl w:val="0"/>
          <w:numId w:val="28"/>
        </w:numPr>
      </w:pPr>
      <w:r w:rsidRPr="00711CE0">
        <w:t xml:space="preserve">Bezpečnostní řezy keřů na území Prahy </w:t>
      </w:r>
      <w:proofErr w:type="gramStart"/>
      <w:r w:rsidRPr="00711CE0">
        <w:t>10 – podzim</w:t>
      </w:r>
      <w:proofErr w:type="gramEnd"/>
      <w:r w:rsidRPr="00711CE0">
        <w:t xml:space="preserve"> 2025</w:t>
      </w:r>
    </w:p>
    <w:p w14:paraId="5CC7A022" w14:textId="77777777" w:rsidR="00104414" w:rsidRPr="00711CE0" w:rsidRDefault="00104414" w:rsidP="003B1716">
      <w:pPr>
        <w:pStyle w:val="1Program"/>
        <w:numPr>
          <w:ilvl w:val="0"/>
          <w:numId w:val="28"/>
        </w:numPr>
      </w:pPr>
      <w:r w:rsidRPr="00711CE0">
        <w:t>EIA zjišťovací řízení „Zařízení k odstraňování, sběru, výkupu a mechanické úpravě odpadů a zpracování elektrozařízení – listopad 2025“</w:t>
      </w:r>
    </w:p>
    <w:p w14:paraId="71572C43" w14:textId="77777777" w:rsidR="00104414" w:rsidRPr="00711CE0" w:rsidRDefault="00104414" w:rsidP="003B1716">
      <w:pPr>
        <w:pStyle w:val="1Program"/>
        <w:numPr>
          <w:ilvl w:val="0"/>
          <w:numId w:val="28"/>
        </w:numPr>
      </w:pPr>
      <w:r w:rsidRPr="00711CE0">
        <w:t>Návrh na nabytí pozemků – veřejné prostranství a dětské hřiště, lokalita Malešická stráň (JRD Malešice s.r.o.)</w:t>
      </w:r>
    </w:p>
    <w:p w14:paraId="384A0678" w14:textId="77777777" w:rsidR="00104414" w:rsidRPr="00711CE0" w:rsidRDefault="00104414" w:rsidP="003B1716">
      <w:pPr>
        <w:pStyle w:val="1Program"/>
        <w:numPr>
          <w:ilvl w:val="0"/>
          <w:numId w:val="28"/>
        </w:numPr>
      </w:pPr>
      <w:r w:rsidRPr="00711CE0">
        <w:t xml:space="preserve">Návrh na budoucí nabytí pozemků – veřejný park, lokalita Polygrafická </w:t>
      </w:r>
      <w:r w:rsidRPr="00711CE0">
        <w:br/>
        <w:t>(Skanska Residential a.s.)</w:t>
      </w:r>
    </w:p>
    <w:p w14:paraId="0AE6F473" w14:textId="77777777" w:rsidR="00104414" w:rsidRPr="00711CE0" w:rsidRDefault="00104414" w:rsidP="003B1716">
      <w:pPr>
        <w:pStyle w:val="1Program"/>
        <w:numPr>
          <w:ilvl w:val="0"/>
          <w:numId w:val="28"/>
        </w:numPr>
      </w:pPr>
      <w:r w:rsidRPr="00711CE0">
        <w:t>Různé + iniciativní návrhy členů VŽP</w:t>
      </w:r>
    </w:p>
    <w:p w14:paraId="1FE44820" w14:textId="77777777" w:rsidR="003831BD" w:rsidRPr="00056F39" w:rsidRDefault="003831BD" w:rsidP="00711CE0">
      <w:pPr>
        <w:pStyle w:val="3Text"/>
      </w:pPr>
    </w:p>
    <w:p w14:paraId="28DE218C" w14:textId="7E6A7020" w:rsidR="00CD5614" w:rsidRDefault="00056F39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18703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D67E46B" w14:textId="77777777" w:rsidR="003831BD" w:rsidRPr="00323B6B" w:rsidRDefault="003831BD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DC759EB" w14:textId="58104AFA" w:rsidR="00187030" w:rsidRPr="00187030" w:rsidRDefault="00187030" w:rsidP="00711CE0">
      <w:pPr>
        <w:pStyle w:val="2Bod"/>
      </w:pPr>
      <w:r w:rsidRPr="00187030">
        <w:t>Informace o průběhu veřejné zakázky: „Správa a údržba ploch veřejné zeleně na Praze 10 v oblasti Záběhlice“</w:t>
      </w:r>
    </w:p>
    <w:p w14:paraId="4F56E82F" w14:textId="01D28B42" w:rsidR="00187030" w:rsidRDefault="00550A57" w:rsidP="00550A57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informoval, že byl vybrán dodavatel </w:t>
      </w:r>
      <w:r w:rsidRPr="00550A57">
        <w:rPr>
          <w:rFonts w:ascii="Arial" w:eastAsia="Calibri" w:hAnsi="Arial" w:cs="Arial"/>
          <w:bCs/>
          <w:sz w:val="24"/>
          <w:szCs w:val="24"/>
          <w:lang w:eastAsia="en-US"/>
        </w:rPr>
        <w:t>CI – ZELEŇ Záběhlice, tvořený společníky CEBU a.s.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550A57">
        <w:rPr>
          <w:rFonts w:ascii="Arial" w:eastAsia="Calibri" w:hAnsi="Arial" w:cs="Arial"/>
          <w:bCs/>
          <w:sz w:val="24"/>
          <w:szCs w:val="24"/>
          <w:lang w:eastAsia="en-US"/>
        </w:rPr>
        <w:t>a Ironex MB s.r.o.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E2961" w:rsidRPr="00AE2961">
        <w:rPr>
          <w:rFonts w:ascii="Arial" w:eastAsia="Calibri" w:hAnsi="Arial" w:cs="Arial"/>
          <w:bCs/>
          <w:sz w:val="24"/>
          <w:szCs w:val="24"/>
          <w:lang w:eastAsia="en-US"/>
        </w:rPr>
        <w:t>Plnění bude zahájeno 1.1.2026 a potrvá 3</w:t>
      </w:r>
      <w:r w:rsidR="00AE2961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AE2961" w:rsidRPr="00AE2961">
        <w:rPr>
          <w:rFonts w:ascii="Arial" w:eastAsia="Calibri" w:hAnsi="Arial" w:cs="Arial"/>
          <w:bCs/>
          <w:sz w:val="24"/>
          <w:szCs w:val="24"/>
          <w:lang w:eastAsia="en-US"/>
        </w:rPr>
        <w:t>roky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AE2961" w:rsidRPr="00AE2961">
        <w:rPr>
          <w:rFonts w:ascii="Arial" w:eastAsia="Calibri" w:hAnsi="Arial" w:cs="Arial"/>
          <w:bCs/>
          <w:sz w:val="24"/>
          <w:szCs w:val="24"/>
          <w:lang w:eastAsia="en-US"/>
        </w:rPr>
        <w:t xml:space="preserve">Zakázka byla vysoutěžena za nižší cenu oproti </w:t>
      </w:r>
      <w:r w:rsidR="00AE2961">
        <w:rPr>
          <w:rFonts w:ascii="Arial" w:eastAsia="Calibri" w:hAnsi="Arial" w:cs="Arial"/>
          <w:bCs/>
          <w:sz w:val="24"/>
          <w:szCs w:val="24"/>
          <w:lang w:eastAsia="en-US"/>
        </w:rPr>
        <w:t>nákladům v předchozích letech, bude ale nutné ohlídat si kvalitu poskytovaných služeb.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E2961">
        <w:rPr>
          <w:rFonts w:ascii="Arial" w:eastAsia="Calibri" w:hAnsi="Arial" w:cs="Arial"/>
          <w:bCs/>
          <w:sz w:val="24"/>
          <w:szCs w:val="24"/>
          <w:lang w:eastAsia="en-US"/>
        </w:rPr>
        <w:t xml:space="preserve">Nebyly podány žádné námitky a </w:t>
      </w:r>
      <w:r w:rsidR="00AE2961" w:rsidRPr="00AE2961">
        <w:rPr>
          <w:rFonts w:ascii="Arial" w:eastAsia="Calibri" w:hAnsi="Arial" w:cs="Arial"/>
          <w:bCs/>
          <w:sz w:val="24"/>
          <w:szCs w:val="24"/>
          <w:lang w:eastAsia="en-US"/>
        </w:rPr>
        <w:t>smlouva je nyní před podpisem</w:t>
      </w:r>
      <w:r w:rsidR="00AE2961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Do konce roku 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bude práce </w:t>
      </w:r>
      <w:r w:rsidR="00353DCC">
        <w:rPr>
          <w:rFonts w:ascii="Arial" w:eastAsia="Calibri" w:hAnsi="Arial" w:cs="Arial"/>
          <w:bCs/>
          <w:sz w:val="24"/>
          <w:szCs w:val="24"/>
          <w:lang w:eastAsia="en-US"/>
        </w:rPr>
        <w:t xml:space="preserve">ještě 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provádět </w:t>
      </w:r>
      <w:r w:rsidR="00AE2961">
        <w:rPr>
          <w:rFonts w:ascii="Arial" w:eastAsia="Calibri" w:hAnsi="Arial" w:cs="Arial"/>
          <w:bCs/>
          <w:sz w:val="24"/>
          <w:szCs w:val="24"/>
          <w:lang w:eastAsia="en-US"/>
        </w:rPr>
        <w:t xml:space="preserve">společnost 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>AVE</w:t>
      </w:r>
      <w:r w:rsidR="00CA5600">
        <w:rPr>
          <w:rFonts w:ascii="Arial" w:eastAsia="Calibri" w:hAnsi="Arial" w:cs="Arial"/>
          <w:bCs/>
          <w:sz w:val="24"/>
          <w:szCs w:val="24"/>
          <w:lang w:eastAsia="en-US"/>
        </w:rPr>
        <w:t xml:space="preserve"> Pražské komunální služby a.s.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rámci JŘBÚ</w:t>
      </w:r>
      <w:r w:rsidR="002E546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 Na začátku příštího roku ještě půjde souhrnná informace do ZMČ.</w:t>
      </w:r>
    </w:p>
    <w:p w14:paraId="7B2F5899" w14:textId="1EE210FD" w:rsidR="00007D90" w:rsidRDefault="00007D90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30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/1/2025:</w:t>
      </w:r>
    </w:p>
    <w:p w14:paraId="318923AC" w14:textId="27F577FB" w:rsidR="003831BD" w:rsidRPr="008A2D65" w:rsidRDefault="003831BD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8A2D65">
        <w:rPr>
          <w:rFonts w:ascii="Arial" w:eastAsia="Calibri" w:hAnsi="Arial" w:cs="Arial"/>
          <w:bCs/>
          <w:sz w:val="24"/>
          <w:szCs w:val="24"/>
          <w:lang w:eastAsia="en-US"/>
        </w:rPr>
        <w:t>VŽP bere na vědomí informac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Pr="008A2D6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A2D65" w:rsidRPr="008A2D65">
        <w:rPr>
          <w:rFonts w:ascii="Arial" w:eastAsia="Calibri" w:hAnsi="Arial" w:cs="Arial"/>
          <w:bCs/>
          <w:sz w:val="24"/>
          <w:szCs w:val="24"/>
          <w:lang w:eastAsia="en-US"/>
        </w:rPr>
        <w:t>o průběhu veřejné zakázky: „Správa a údržba ploch veřejné zeleně na Praze 10 v oblasti Záběhlice“</w:t>
      </w:r>
      <w:r w:rsidRPr="008A2D6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050A45B" w14:textId="5693C53D" w:rsidR="00007D90" w:rsidRPr="003831BD" w:rsidRDefault="00007D90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8A2D6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3831BD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, proti 0, zdržel se 0</w:t>
      </w:r>
    </w:p>
    <w:p w14:paraId="3D6EBD9F" w14:textId="77777777" w:rsidR="00CB5AE8" w:rsidRPr="00F43AC1" w:rsidRDefault="00CB5AE8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2321050" w14:textId="6031897E" w:rsidR="008A2D65" w:rsidRPr="00187030" w:rsidRDefault="008A2D65" w:rsidP="00711CE0">
      <w:pPr>
        <w:pStyle w:val="2Bod"/>
      </w:pPr>
      <w:r w:rsidRPr="00187030">
        <w:t xml:space="preserve">Návrh rozpočtu v kapitole 0021 </w:t>
      </w:r>
      <w:r w:rsidR="00147A6F">
        <w:t>Ž</w:t>
      </w:r>
      <w:r w:rsidRPr="00187030">
        <w:t xml:space="preserve">ivotní prostředí na rok 2026 </w:t>
      </w:r>
    </w:p>
    <w:p w14:paraId="777F81CB" w14:textId="083957F4" w:rsidR="00CD5614" w:rsidRDefault="00AC36D6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okomentoval 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 xml:space="preserve">zásadní položky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návrh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rozpočtu na rok 2026. 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>V n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einvestiční část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2E546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 xml:space="preserve">jsou </w:t>
      </w:r>
      <w:r w:rsidR="00490FDF" w:rsidRPr="00490FDF">
        <w:rPr>
          <w:rFonts w:ascii="Arial" w:eastAsia="Calibri" w:hAnsi="Arial" w:cs="Arial"/>
          <w:bCs/>
          <w:sz w:val="24"/>
          <w:szCs w:val="24"/>
          <w:lang w:eastAsia="en-US"/>
        </w:rPr>
        <w:t>nárokovány prostředky na krytí uzavřených smluv na údržbu veřejné zeleně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 xml:space="preserve">, tato </w:t>
      </w:r>
      <w:r w:rsidR="001B5177" w:rsidRPr="001B5177">
        <w:rPr>
          <w:rFonts w:ascii="Arial" w:eastAsia="Calibri" w:hAnsi="Arial" w:cs="Arial"/>
          <w:bCs/>
          <w:sz w:val="24"/>
          <w:szCs w:val="24"/>
          <w:lang w:eastAsia="en-US"/>
        </w:rPr>
        <w:t xml:space="preserve">částka se snížila díky novým smlouvám vysoutěženým za </w:t>
      </w:r>
      <w:r w:rsidR="001B5177">
        <w:rPr>
          <w:rFonts w:ascii="Arial" w:eastAsia="Calibri" w:hAnsi="Arial" w:cs="Arial"/>
          <w:bCs/>
          <w:sz w:val="24"/>
          <w:szCs w:val="24"/>
          <w:lang w:eastAsia="en-US"/>
        </w:rPr>
        <w:t>nižší</w:t>
      </w:r>
      <w:r w:rsidR="001B5177" w:rsidRPr="001B5177">
        <w:rPr>
          <w:rFonts w:ascii="Arial" w:eastAsia="Calibri" w:hAnsi="Arial" w:cs="Arial"/>
          <w:bCs/>
          <w:sz w:val="24"/>
          <w:szCs w:val="24"/>
          <w:lang w:eastAsia="en-US"/>
        </w:rPr>
        <w:t xml:space="preserve"> cenu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490FDF" w:rsidRPr="00490FD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D13E8">
        <w:rPr>
          <w:rFonts w:ascii="Arial" w:eastAsia="Calibri" w:hAnsi="Arial" w:cs="Arial"/>
          <w:bCs/>
          <w:sz w:val="24"/>
          <w:szCs w:val="24"/>
          <w:lang w:eastAsia="en-US"/>
        </w:rPr>
        <w:t xml:space="preserve">U položky na údržbu dětských hřišť je </w:t>
      </w:r>
      <w:r w:rsidR="001B5177">
        <w:rPr>
          <w:rFonts w:ascii="Arial" w:eastAsia="Calibri" w:hAnsi="Arial" w:cs="Arial"/>
          <w:bCs/>
          <w:sz w:val="24"/>
          <w:szCs w:val="24"/>
          <w:lang w:eastAsia="en-US"/>
        </w:rPr>
        <w:t>navýšení</w:t>
      </w:r>
      <w:r w:rsidR="000D13E8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prostředků, </w:t>
      </w:r>
      <w:r w:rsidR="001B5177" w:rsidRPr="001B5177">
        <w:rPr>
          <w:rFonts w:ascii="Arial" w:eastAsia="Calibri" w:hAnsi="Arial" w:cs="Arial"/>
          <w:bCs/>
          <w:sz w:val="24"/>
          <w:szCs w:val="24"/>
          <w:lang w:eastAsia="en-US"/>
        </w:rPr>
        <w:t>protože se předpokládá soutěžení nového dodavatele v příštím roce</w:t>
      </w:r>
      <w:r w:rsidR="000D044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 xml:space="preserve"> Jsou t</w:t>
      </w:r>
      <w:r w:rsidR="003A179E">
        <w:rPr>
          <w:rFonts w:ascii="Arial" w:eastAsia="Calibri" w:hAnsi="Arial" w:cs="Arial"/>
          <w:bCs/>
          <w:sz w:val="24"/>
          <w:szCs w:val="24"/>
          <w:lang w:eastAsia="en-US"/>
        </w:rPr>
        <w:t>éž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 xml:space="preserve"> zahrnuty finanční prostředky na správu AVČ </w:t>
      </w:r>
      <w:r w:rsidR="002E5460">
        <w:rPr>
          <w:rFonts w:ascii="Arial" w:eastAsia="Calibri" w:hAnsi="Arial" w:cs="Arial"/>
          <w:bCs/>
          <w:sz w:val="24"/>
          <w:szCs w:val="24"/>
          <w:lang w:eastAsia="en-US"/>
        </w:rPr>
        <w:t>Gutova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>, které</w:t>
      </w:r>
      <w:r w:rsidR="002E546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90FDF">
        <w:rPr>
          <w:rFonts w:ascii="Arial" w:eastAsia="Calibri" w:hAnsi="Arial" w:cs="Arial"/>
          <w:bCs/>
          <w:sz w:val="24"/>
          <w:szCs w:val="24"/>
          <w:lang w:eastAsia="en-US"/>
        </w:rPr>
        <w:t xml:space="preserve">se </w:t>
      </w:r>
      <w:r w:rsidR="002E5460">
        <w:rPr>
          <w:rFonts w:ascii="Arial" w:eastAsia="Calibri" w:hAnsi="Arial" w:cs="Arial"/>
          <w:bCs/>
          <w:sz w:val="24"/>
          <w:szCs w:val="24"/>
          <w:lang w:eastAsia="en-US"/>
        </w:rPr>
        <w:t>případně sníží</w:t>
      </w:r>
      <w:r w:rsidR="003A179E">
        <w:rPr>
          <w:rFonts w:ascii="Arial" w:eastAsia="Calibri" w:hAnsi="Arial" w:cs="Arial"/>
          <w:bCs/>
          <w:sz w:val="24"/>
          <w:szCs w:val="24"/>
          <w:lang w:eastAsia="en-US"/>
        </w:rPr>
        <w:t xml:space="preserve"> v případě zahájení fungování zřízené příspěvkové organizace</w:t>
      </w:r>
      <w:r w:rsidR="002E5460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1B5177" w:rsidRPr="001B5177">
        <w:rPr>
          <w:rFonts w:ascii="Arial" w:eastAsia="Calibri" w:hAnsi="Arial" w:cs="Arial"/>
          <w:bCs/>
          <w:sz w:val="24"/>
          <w:szCs w:val="24"/>
          <w:lang w:eastAsia="en-US"/>
        </w:rPr>
        <w:t>Položka na úklid chodníků byla snížena díky vysoutěžení nižší ceny.</w:t>
      </w:r>
      <w:r w:rsidR="002E546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1C89B625" w14:textId="1D025DEC" w:rsidR="00AC36D6" w:rsidRDefault="009265E9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nvestiční část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zahrnuje především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t xml:space="preserve">investice do dětských </w:t>
      </w:r>
      <w:proofErr w:type="gramStart"/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t>hřišť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-</w:t>
      </w:r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rekonstrukce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DH Nad Primaskou, </w:t>
      </w:r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t xml:space="preserve">úprava cest v parku 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>Ruth Bondyov</w:t>
      </w:r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t>é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t xml:space="preserve">park 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>Solidarita jižní část</w:t>
      </w:r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76429">
        <w:rPr>
          <w:rFonts w:ascii="Arial" w:eastAsia="Calibri" w:hAnsi="Arial" w:cs="Arial"/>
          <w:bCs/>
          <w:sz w:val="24"/>
          <w:szCs w:val="24"/>
          <w:lang w:eastAsia="en-US"/>
        </w:rPr>
        <w:t xml:space="preserve">(probíhá </w:t>
      </w:r>
      <w:r w:rsidR="0095176F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výběr dodavatele na projekční fázi</w:t>
      </w:r>
      <w:r w:rsidR="00A76429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 w:rsidR="00AC36D6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E122A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B01">
        <w:rPr>
          <w:rFonts w:ascii="Arial" w:eastAsia="Calibri" w:hAnsi="Arial" w:cs="Arial"/>
          <w:bCs/>
          <w:sz w:val="24"/>
          <w:szCs w:val="24"/>
          <w:lang w:eastAsia="en-US"/>
        </w:rPr>
        <w:t>Byly vytvořeny n</w:t>
      </w:r>
      <w:r w:rsidR="00E122AA">
        <w:rPr>
          <w:rFonts w:ascii="Arial" w:eastAsia="Calibri" w:hAnsi="Arial" w:cs="Arial"/>
          <w:bCs/>
          <w:sz w:val="24"/>
          <w:szCs w:val="24"/>
          <w:lang w:eastAsia="en-US"/>
        </w:rPr>
        <w:t>ové položky na vybudování přípojek na letní scény.</w:t>
      </w:r>
    </w:p>
    <w:p w14:paraId="6C33AFA0" w14:textId="69D4F35F" w:rsidR="003831BD" w:rsidRDefault="003831BD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30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/2/2025:</w:t>
      </w:r>
    </w:p>
    <w:p w14:paraId="15E5755A" w14:textId="5966BD44" w:rsidR="003831BD" w:rsidRDefault="003831BD" w:rsidP="00711CE0">
      <w:pPr>
        <w:pStyle w:val="3Text"/>
      </w:pPr>
      <w:r w:rsidRPr="00CD5614">
        <w:t xml:space="preserve">VŽP </w:t>
      </w:r>
      <w:r w:rsidR="008A2D65">
        <w:t>bere na vědomí n</w:t>
      </w:r>
      <w:r w:rsidR="008A2D65" w:rsidRPr="008A2D65">
        <w:t xml:space="preserve">ávrh rozpočtu v kapitole 0021 </w:t>
      </w:r>
      <w:r w:rsidR="00147A6F">
        <w:t>Ž</w:t>
      </w:r>
      <w:r w:rsidR="008A2D65" w:rsidRPr="008A2D65">
        <w:t>ivotní prostředí na rok 2026</w:t>
      </w:r>
      <w:r>
        <w:t>.</w:t>
      </w:r>
    </w:p>
    <w:p w14:paraId="1ED3CAA6" w14:textId="7E6F0A75" w:rsidR="003831BD" w:rsidRDefault="003831BD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4D415F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14F895EC" w14:textId="77777777" w:rsidR="006B6211" w:rsidRPr="002641B5" w:rsidRDefault="006B6211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F00157E" w14:textId="77777777" w:rsidR="008A2D65" w:rsidRPr="00187030" w:rsidRDefault="008A2D65" w:rsidP="00711CE0">
      <w:pPr>
        <w:pStyle w:val="2Bod"/>
      </w:pPr>
      <w:r w:rsidRPr="00187030">
        <w:t>Strategie pro Desítku – návrh Akčního plánu v oblasti životního prostředí</w:t>
      </w:r>
    </w:p>
    <w:p w14:paraId="55D5DE06" w14:textId="07D82BDD" w:rsidR="00502FEC" w:rsidRDefault="00AC36D6" w:rsidP="00711CE0">
      <w:pPr>
        <w:pStyle w:val="3Text"/>
      </w:pPr>
      <w:r>
        <w:t>Bc. Pecánek krátce představil projektové karty týkající se životního prostředí</w:t>
      </w:r>
      <w:r w:rsidR="004876BB">
        <w:t>.</w:t>
      </w:r>
      <w:r w:rsidR="003A179E">
        <w:t xml:space="preserve"> Ty jsou navázány na návrh rozpočtu na rok 2026. Jedná se jak o konkrétní jednorázové projekty, tak i dlouhodobější činnosti v rámci veřejných prostranství.</w:t>
      </w:r>
    </w:p>
    <w:p w14:paraId="450391CD" w14:textId="58750A93" w:rsidR="004D415F" w:rsidRDefault="004D415F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A2D65">
        <w:rPr>
          <w:rFonts w:ascii="Arial" w:eastAsia="Calibri" w:hAnsi="Arial" w:cs="Arial"/>
          <w:bCs/>
          <w:sz w:val="24"/>
          <w:szCs w:val="24"/>
          <w:lang w:eastAsia="en-US"/>
        </w:rPr>
        <w:t>30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/3/2025:</w:t>
      </w:r>
    </w:p>
    <w:p w14:paraId="34FD2CBB" w14:textId="14F366BF" w:rsidR="004D415F" w:rsidRDefault="004D415F" w:rsidP="00711CE0">
      <w:pPr>
        <w:pStyle w:val="3Text"/>
      </w:pPr>
      <w:r w:rsidRPr="00CD5614">
        <w:t xml:space="preserve">VŽP </w:t>
      </w:r>
      <w:r w:rsidR="008A2D65">
        <w:t xml:space="preserve">bere na vědomí </w:t>
      </w:r>
      <w:r w:rsidR="008A2D65" w:rsidRPr="008A2D65">
        <w:t xml:space="preserve">návrh Akčního plánu </w:t>
      </w:r>
      <w:r w:rsidR="008A2D65">
        <w:t xml:space="preserve">SPUR </w:t>
      </w:r>
      <w:r w:rsidR="008A2D65" w:rsidRPr="008A2D65">
        <w:t>v oblasti životního prostředí</w:t>
      </w:r>
      <w:r w:rsidR="008A2D65">
        <w:t xml:space="preserve"> pro rok 2026</w:t>
      </w:r>
      <w:r>
        <w:t>.</w:t>
      </w:r>
    </w:p>
    <w:p w14:paraId="0C70126B" w14:textId="2C71EE2C" w:rsidR="004D415F" w:rsidRDefault="004D415F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8A2D6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7C2674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37F447C5" w14:textId="77777777" w:rsidR="008A2D65" w:rsidRPr="008A2D65" w:rsidRDefault="008A2D65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4198639" w14:textId="77777777" w:rsidR="008A2D65" w:rsidRPr="00187030" w:rsidRDefault="008A2D65" w:rsidP="00711CE0">
      <w:pPr>
        <w:pStyle w:val="2Bod"/>
      </w:pPr>
      <w:bookmarkStart w:id="3" w:name="_Hlk190173577"/>
      <w:bookmarkStart w:id="4" w:name="_Hlk187851338"/>
      <w:r w:rsidRPr="00187030">
        <w:t xml:space="preserve">Bezpečnostní řezy keřů na území Prahy </w:t>
      </w:r>
      <w:proofErr w:type="gramStart"/>
      <w:r w:rsidRPr="00187030">
        <w:t>10 – podzim</w:t>
      </w:r>
      <w:proofErr w:type="gramEnd"/>
      <w:r w:rsidRPr="00187030">
        <w:t xml:space="preserve"> 2025</w:t>
      </w:r>
    </w:p>
    <w:p w14:paraId="0C5C6388" w14:textId="4AF6D1C5" w:rsidR="00D47F70" w:rsidRDefault="00D47F70" w:rsidP="00711CE0">
      <w:pPr>
        <w:pStyle w:val="3Text"/>
      </w:pPr>
      <w:r w:rsidRPr="00856D38">
        <w:t xml:space="preserve">Bc. Pecánek uvedl, </w:t>
      </w:r>
      <w:r w:rsidR="007334D9">
        <w:t>ze zbylých finančních prostředků na údržbu zeleně budou provedeny prořezy keřů</w:t>
      </w:r>
      <w:r w:rsidR="00AC36D6">
        <w:t xml:space="preserve"> z bezpečnostních důvodů (</w:t>
      </w:r>
      <w:r w:rsidR="007334D9">
        <w:t xml:space="preserve">přehlednost, </w:t>
      </w:r>
      <w:r w:rsidR="00AC36D6">
        <w:t>výskyt bezdomovců nebo tvoření skládek)</w:t>
      </w:r>
      <w:r w:rsidR="00066D16">
        <w:t xml:space="preserve">. </w:t>
      </w:r>
      <w:r w:rsidR="007334D9">
        <w:t>Již byl</w:t>
      </w:r>
      <w:r w:rsidR="00681B47">
        <w:t>a</w:t>
      </w:r>
      <w:r w:rsidR="007334D9">
        <w:t xml:space="preserve"> vytipován</w:t>
      </w:r>
      <w:r w:rsidR="00681B47">
        <w:t>a</w:t>
      </w:r>
      <w:r w:rsidR="007334D9">
        <w:t xml:space="preserve"> </w:t>
      </w:r>
      <w:r w:rsidR="00681B47">
        <w:t xml:space="preserve">konkrétní </w:t>
      </w:r>
      <w:r w:rsidR="007334D9">
        <w:t>místa, v</w:t>
      </w:r>
      <w:r w:rsidR="00681B47">
        <w:t>četně</w:t>
      </w:r>
      <w:r w:rsidR="00066D16">
        <w:t xml:space="preserve"> některých </w:t>
      </w:r>
      <w:r w:rsidR="007334D9">
        <w:t>ploch</w:t>
      </w:r>
      <w:r w:rsidR="00066D16">
        <w:t xml:space="preserve"> na Skalce</w:t>
      </w:r>
      <w:r w:rsidR="00681B47">
        <w:t>, kde</w:t>
      </w:r>
      <w:r w:rsidR="00066D16">
        <w:t xml:space="preserve"> se jedná i o pozemky Dopravního podniku, </w:t>
      </w:r>
      <w:r w:rsidR="00681B47" w:rsidRPr="00681B47">
        <w:t>provedení zásahů bylo s nimi předem projednáno</w:t>
      </w:r>
      <w:r w:rsidR="00066D16">
        <w:t>.</w:t>
      </w:r>
      <w:r w:rsidR="004876BB">
        <w:t xml:space="preserve"> </w:t>
      </w:r>
    </w:p>
    <w:bookmarkEnd w:id="3"/>
    <w:bookmarkEnd w:id="4"/>
    <w:p w14:paraId="3C282052" w14:textId="77777777" w:rsidR="008A2D65" w:rsidRDefault="008A2D65" w:rsidP="00711CE0">
      <w:pPr>
        <w:pStyle w:val="3Text"/>
      </w:pPr>
      <w:r w:rsidRPr="008A2D65">
        <w:t>Tento</w:t>
      </w:r>
      <w:r w:rsidRPr="00636B7A">
        <w:t xml:space="preserve"> bod byl projednán bez usnesení.</w:t>
      </w:r>
    </w:p>
    <w:p w14:paraId="3C8FE2C6" w14:textId="77777777" w:rsidR="008A2D65" w:rsidRPr="00636B7A" w:rsidRDefault="008A2D65" w:rsidP="00711CE0">
      <w:pPr>
        <w:pStyle w:val="3Text"/>
      </w:pPr>
    </w:p>
    <w:p w14:paraId="726E453F" w14:textId="77777777" w:rsidR="007C2674" w:rsidRPr="00187030" w:rsidRDefault="007C2674" w:rsidP="00711CE0">
      <w:pPr>
        <w:pStyle w:val="2Bod"/>
      </w:pPr>
      <w:r w:rsidRPr="00187030">
        <w:t>EIA zjišťovací řízení „Zařízení k odstraňování, sběru, výkupu a mechanické úpravě odpadů a zpracování elektrozařízení – listopad 2025“</w:t>
      </w:r>
    </w:p>
    <w:p w14:paraId="36E240F0" w14:textId="69B71D68" w:rsidR="008A2D65" w:rsidRDefault="008A2D65" w:rsidP="00711CE0">
      <w:pPr>
        <w:pStyle w:val="3Text"/>
      </w:pPr>
      <w:r w:rsidRPr="008A2D65">
        <w:t>V</w:t>
      </w:r>
      <w:r>
        <w:t> 17:47</w:t>
      </w:r>
      <w:r w:rsidRPr="008A2D65">
        <w:t xml:space="preserve"> odešel Ing. Pek, S.E.</w:t>
      </w:r>
    </w:p>
    <w:p w14:paraId="614FA125" w14:textId="0C1C23DB" w:rsidR="00066D16" w:rsidRDefault="00066D16" w:rsidP="00711CE0">
      <w:pPr>
        <w:pStyle w:val="3Text"/>
      </w:pPr>
      <w:r>
        <w:t>Bc. Pecánek informoval, že MČ se k tomuto záměru vyjadřovala</w:t>
      </w:r>
      <w:r w:rsidRPr="00066D16">
        <w:t xml:space="preserve"> </w:t>
      </w:r>
      <w:r w:rsidR="00681B47">
        <w:t xml:space="preserve">již </w:t>
      </w:r>
      <w:r>
        <w:t>v září, kdy požadov</w:t>
      </w:r>
      <w:r w:rsidR="00681B47">
        <w:t>ala</w:t>
      </w:r>
      <w:r>
        <w:t xml:space="preserve"> </w:t>
      </w:r>
      <w:r w:rsidR="00681B47">
        <w:t xml:space="preserve">provedení </w:t>
      </w:r>
      <w:r w:rsidR="007334D9">
        <w:t>zjišťovací</w:t>
      </w:r>
      <w:r w:rsidR="00681B47">
        <w:t>ho</w:t>
      </w:r>
      <w:r w:rsidR="007334D9">
        <w:t xml:space="preserve"> řízení, </w:t>
      </w:r>
      <w:r w:rsidR="00681B47">
        <w:t>případně</w:t>
      </w:r>
      <w:r w:rsidR="007334D9">
        <w:t xml:space="preserve"> stažení žádosti a </w:t>
      </w:r>
      <w:r w:rsidR="00681B47">
        <w:t xml:space="preserve">její </w:t>
      </w:r>
      <w:r>
        <w:t>přepracování</w:t>
      </w:r>
      <w:r w:rsidR="007334D9">
        <w:t xml:space="preserve"> (odůvodněno výstavbou Na Homoli, která v záměru nebyla vůbec zmíněna)</w:t>
      </w:r>
      <w:r>
        <w:t xml:space="preserve">. </w:t>
      </w:r>
      <w:r w:rsidR="00681B47">
        <w:t>Nyní</w:t>
      </w:r>
      <w:r>
        <w:t xml:space="preserve"> je </w:t>
      </w:r>
      <w:r w:rsidR="00681B47">
        <w:t>předkládána</w:t>
      </w:r>
      <w:r>
        <w:t xml:space="preserve"> nová verze záměru, ale </w:t>
      </w:r>
      <w:r w:rsidR="00681B47">
        <w:t>obsahuje</w:t>
      </w:r>
      <w:r>
        <w:t xml:space="preserve"> jen technické zpřesnění, nejsou v ní </w:t>
      </w:r>
      <w:r w:rsidR="007334D9">
        <w:t xml:space="preserve">zahrnuty </w:t>
      </w:r>
      <w:r>
        <w:t>předchozí požadavky MČ</w:t>
      </w:r>
      <w:r w:rsidR="005B0D42">
        <w:t>, proto je znovu navrhováno celkové posouzení v procesu EIA</w:t>
      </w:r>
      <w:r>
        <w:t>.</w:t>
      </w:r>
    </w:p>
    <w:p w14:paraId="71B1DA69" w14:textId="6CF2F80F" w:rsidR="007C2674" w:rsidRDefault="007C2674" w:rsidP="00711C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VŽP/30/4/2025:</w:t>
      </w:r>
    </w:p>
    <w:p w14:paraId="4F14D0E6" w14:textId="4CC6BE9D" w:rsidR="007C2674" w:rsidRDefault="007C2674" w:rsidP="00711CE0">
      <w:pPr>
        <w:pStyle w:val="3Text"/>
      </w:pPr>
      <w:r w:rsidRPr="00CD5614">
        <w:t xml:space="preserve">VŽP </w:t>
      </w:r>
      <w:r>
        <w:t xml:space="preserve">doporučuje </w:t>
      </w:r>
      <w:r w:rsidRPr="00D406F6">
        <w:t>RMČ požadovat provedení posouzení záměru „Zařízení k</w:t>
      </w:r>
      <w:r>
        <w:t> </w:t>
      </w:r>
      <w:r w:rsidRPr="00D406F6">
        <w:t xml:space="preserve">odstraňování, sběru, výkupu a mechanické úpravě odpadů a zpracování </w:t>
      </w:r>
      <w:r w:rsidRPr="00D406F6">
        <w:lastRenderedPageBreak/>
        <w:t>elektrozařízení – listopad 2025“ v procesu EIA dle zákona č. 100/2001 Sb. v platném znění</w:t>
      </w:r>
      <w:r>
        <w:t>.</w:t>
      </w:r>
    </w:p>
    <w:p w14:paraId="5E25C903" w14:textId="0825ADCB" w:rsidR="006F01DC" w:rsidRPr="00636B7A" w:rsidRDefault="007C2674" w:rsidP="00711CE0">
      <w:pPr>
        <w:pStyle w:val="3Text"/>
      </w:pPr>
      <w:r w:rsidRPr="00FD77C5">
        <w:rPr>
          <w:i/>
          <w:iCs/>
        </w:rPr>
        <w:t xml:space="preserve">Hlasování: pro </w:t>
      </w:r>
      <w:r>
        <w:rPr>
          <w:bCs w:val="0"/>
          <w:i/>
          <w:iCs/>
        </w:rPr>
        <w:t>4</w:t>
      </w:r>
      <w:r w:rsidRPr="00FD77C5">
        <w:rPr>
          <w:i/>
          <w:iCs/>
        </w:rPr>
        <w:t xml:space="preserve">, proti 0, zdržel se </w:t>
      </w:r>
      <w:r>
        <w:rPr>
          <w:i/>
          <w:iCs/>
        </w:rPr>
        <w:t>0</w:t>
      </w:r>
    </w:p>
    <w:p w14:paraId="1F348D5C" w14:textId="77777777" w:rsidR="00B45CAE" w:rsidRPr="00B45CAE" w:rsidRDefault="00B45CAE" w:rsidP="00711CE0">
      <w:pPr>
        <w:pStyle w:val="3Text"/>
      </w:pPr>
    </w:p>
    <w:p w14:paraId="56B8A02B" w14:textId="77777777" w:rsidR="007C2674" w:rsidRPr="00187030" w:rsidRDefault="007C2674" w:rsidP="00711CE0">
      <w:pPr>
        <w:pStyle w:val="2Bod"/>
      </w:pPr>
      <w:r w:rsidRPr="00187030">
        <w:t>Návrh na nabytí pozemků – veřejné prostranství a dětské hřiště, lokalita Malešická stráň (JRD Malešice s.r.o.)</w:t>
      </w:r>
    </w:p>
    <w:p w14:paraId="246CAD07" w14:textId="501B5C49" w:rsidR="007C2674" w:rsidRDefault="007C2674" w:rsidP="00711CE0">
      <w:pPr>
        <w:pStyle w:val="3Text"/>
      </w:pPr>
      <w:r w:rsidRPr="007C2674">
        <w:t>V 17:</w:t>
      </w:r>
      <w:r>
        <w:t>50 se vrátil</w:t>
      </w:r>
      <w:r w:rsidRPr="007C2674">
        <w:t xml:space="preserve"> Ing. Pek, S.E.</w:t>
      </w:r>
    </w:p>
    <w:p w14:paraId="3CA595C0" w14:textId="09DF2D8F" w:rsidR="004D3E2E" w:rsidRDefault="00790148" w:rsidP="00711CE0">
      <w:pPr>
        <w:pStyle w:val="3Text"/>
      </w:pPr>
      <w:r>
        <w:t>Bc. Pecánek informoval</w:t>
      </w:r>
      <w:r w:rsidR="008571C1">
        <w:t xml:space="preserve"> o</w:t>
      </w:r>
      <w:r>
        <w:t xml:space="preserve"> usnesení RMČ z roku 2020, </w:t>
      </w:r>
      <w:r w:rsidR="00681B47">
        <w:t>které ukládalo</w:t>
      </w:r>
      <w:r>
        <w:t xml:space="preserve"> nab</w:t>
      </w:r>
      <w:r w:rsidR="00681B47">
        <w:t>ytí</w:t>
      </w:r>
      <w:r>
        <w:t xml:space="preserve"> t</w:t>
      </w:r>
      <w:r w:rsidR="00681B47">
        <w:t>ěchto</w:t>
      </w:r>
      <w:r>
        <w:t xml:space="preserve"> pozemk</w:t>
      </w:r>
      <w:r w:rsidR="00681B47">
        <w:t>ů</w:t>
      </w:r>
      <w:r>
        <w:t xml:space="preserve">, ale z rozhodnutí tehdejšího vedení se to nikdy neuskutečnilo. Nyní se </w:t>
      </w:r>
      <w:r w:rsidR="00681B47">
        <w:t xml:space="preserve">společnost </w:t>
      </w:r>
      <w:r>
        <w:t xml:space="preserve">JRD </w:t>
      </w:r>
      <w:r w:rsidR="00681B47" w:rsidRPr="00187030">
        <w:t>Malešice s.r.o.</w:t>
      </w:r>
      <w:r w:rsidR="00681B47">
        <w:t xml:space="preserve"> </w:t>
      </w:r>
      <w:r w:rsidR="00681B47" w:rsidRPr="00681B47">
        <w:t>obrátila na MČ s dotazem, jak bude situace řešena</w:t>
      </w:r>
      <w:r>
        <w:t>.</w:t>
      </w:r>
      <w:r w:rsidR="000A2743">
        <w:t xml:space="preserve"> Jedná se o převzetí pozemků, na kterých proběhla výstavba Ecocity </w:t>
      </w:r>
      <w:r w:rsidR="00681B47">
        <w:t>Malešice</w:t>
      </w:r>
      <w:r w:rsidR="008571C1">
        <w:t>.</w:t>
      </w:r>
    </w:p>
    <w:p w14:paraId="78595047" w14:textId="50DB9F3F" w:rsidR="007C2674" w:rsidRDefault="007C2674" w:rsidP="00711CE0">
      <w:pPr>
        <w:pStyle w:val="3Text"/>
      </w:pPr>
      <w:r>
        <w:t>K tomuto bodu bylo přijato usnesení č. VŽP/30/5/2025:</w:t>
      </w:r>
    </w:p>
    <w:p w14:paraId="1569A16A" w14:textId="1C074A29" w:rsidR="007C2674" w:rsidRDefault="007C2674" w:rsidP="00711CE0">
      <w:pPr>
        <w:pStyle w:val="3Text"/>
      </w:pPr>
      <w:r w:rsidRPr="00147A6F">
        <w:t xml:space="preserve">VŽP doporučuje </w:t>
      </w:r>
      <w:r w:rsidR="00147A6F" w:rsidRPr="00147A6F">
        <w:t>RMČ a ZMČ nabytí pozemků – veřejné prostranství a dětské hřiště, lokalita „Malešická stráň“ (JRD Malešice s.r.o.) v návaznosti na usnesení RMČ č. 631 ze dne 10.8.2020</w:t>
      </w:r>
      <w:r w:rsidR="00147A6F">
        <w:t>.</w:t>
      </w:r>
    </w:p>
    <w:p w14:paraId="56F966AD" w14:textId="6480659D" w:rsidR="006F01DC" w:rsidRDefault="007C2674" w:rsidP="00711CE0">
      <w:pPr>
        <w:pStyle w:val="3Text"/>
        <w:rPr>
          <w:bCs w:val="0"/>
          <w:i/>
          <w:iCs/>
        </w:rPr>
      </w:pPr>
      <w:r w:rsidRPr="00FD77C5">
        <w:rPr>
          <w:i/>
          <w:iCs/>
        </w:rPr>
        <w:t xml:space="preserve">Hlasování: pro </w:t>
      </w:r>
      <w:r>
        <w:rPr>
          <w:bCs w:val="0"/>
          <w:i/>
          <w:iCs/>
        </w:rPr>
        <w:t>5</w:t>
      </w:r>
      <w:r w:rsidRPr="00FD77C5">
        <w:rPr>
          <w:i/>
          <w:iCs/>
        </w:rPr>
        <w:t xml:space="preserve">, proti 0, zdržel se </w:t>
      </w:r>
      <w:r>
        <w:rPr>
          <w:bCs w:val="0"/>
          <w:i/>
          <w:iCs/>
        </w:rPr>
        <w:t>0</w:t>
      </w:r>
    </w:p>
    <w:p w14:paraId="3546025D" w14:textId="77777777" w:rsidR="007C2674" w:rsidRPr="007C2674" w:rsidRDefault="007C2674" w:rsidP="00711CE0">
      <w:pPr>
        <w:pStyle w:val="3Text"/>
      </w:pPr>
    </w:p>
    <w:p w14:paraId="58E187AF" w14:textId="77777777" w:rsidR="007C2674" w:rsidRPr="00187030" w:rsidRDefault="007C2674" w:rsidP="00711CE0">
      <w:pPr>
        <w:pStyle w:val="2Bod"/>
      </w:pPr>
      <w:r w:rsidRPr="00187030">
        <w:t xml:space="preserve">Návrh na budoucí nabytí pozemků – veřejný park, lokalita Polygrafická </w:t>
      </w:r>
      <w:r w:rsidRPr="00187030">
        <w:br/>
        <w:t>(Skanska Residential a.s.)</w:t>
      </w:r>
    </w:p>
    <w:p w14:paraId="402B2324" w14:textId="6C7844C1" w:rsidR="00636B7A" w:rsidRDefault="00C00A9C" w:rsidP="00711CE0">
      <w:pPr>
        <w:pStyle w:val="3Text"/>
      </w:pPr>
      <w:r>
        <w:t xml:space="preserve">Bc. Pecánek </w:t>
      </w:r>
      <w:r w:rsidR="00D3165D">
        <w:t>informoval o</w:t>
      </w:r>
      <w:r w:rsidR="00251A0F">
        <w:t xml:space="preserve"> plánovaném projektu </w:t>
      </w:r>
      <w:r w:rsidR="00681B47">
        <w:t xml:space="preserve">společnosti </w:t>
      </w:r>
      <w:r w:rsidR="00681B47" w:rsidRPr="00681B47">
        <w:t>Skanska Residential a.s.</w:t>
      </w:r>
      <w:r w:rsidR="00251A0F">
        <w:t xml:space="preserve"> na výstavbu podél </w:t>
      </w:r>
      <w:r w:rsidR="00681B47">
        <w:t xml:space="preserve">ulice </w:t>
      </w:r>
      <w:r w:rsidR="00251A0F">
        <w:t>Černokosteleck</w:t>
      </w:r>
      <w:r w:rsidR="00681B47">
        <w:t>á</w:t>
      </w:r>
      <w:r w:rsidR="00251A0F">
        <w:t xml:space="preserve">. </w:t>
      </w:r>
      <w:r w:rsidR="00681B47" w:rsidRPr="00681B47">
        <w:t>Součástí projektu jsou připravené sadové úpravy</w:t>
      </w:r>
      <w:r w:rsidR="008A1327">
        <w:t>, které byly konzultovány s odborem životního prostředí</w:t>
      </w:r>
      <w:r w:rsidR="00251A0F">
        <w:t xml:space="preserve">. </w:t>
      </w:r>
      <w:r w:rsidR="008A1327" w:rsidRPr="008A1327">
        <w:t>V rámci kontribucí by měla být část pozemků po dokončení úprav předána MČ</w:t>
      </w:r>
      <w:r w:rsidR="00251A0F">
        <w:t xml:space="preserve">. Nyní probíhá revize projektu. Skanska </w:t>
      </w:r>
      <w:r w:rsidR="008A1327">
        <w:t>požaduje</w:t>
      </w:r>
      <w:r w:rsidR="00251A0F">
        <w:t xml:space="preserve"> záruku, že si pozemky MČ převezme, </w:t>
      </w:r>
      <w:r w:rsidR="008A1327">
        <w:t>což je nutné</w:t>
      </w:r>
      <w:r w:rsidR="00251A0F">
        <w:t xml:space="preserve"> vyřešit pro finalizaci kontribuce.</w:t>
      </w:r>
      <w:r w:rsidR="00A04517">
        <w:t xml:space="preserve"> </w:t>
      </w:r>
      <w:r w:rsidR="008A1327" w:rsidRPr="008A1327">
        <w:t>Tento závazek bude řešen prostřednictvím smlouvy o smlouvě budoucí</w:t>
      </w:r>
      <w:r w:rsidR="00A04517">
        <w:t>.</w:t>
      </w:r>
    </w:p>
    <w:p w14:paraId="5F81CC50" w14:textId="1B400C1B" w:rsidR="007C2674" w:rsidRDefault="007C2674" w:rsidP="00711CE0">
      <w:pPr>
        <w:pStyle w:val="3Text"/>
      </w:pPr>
      <w:r>
        <w:t>K tomuto bodu bylo přijato usnesení č. VŽP/30/6/2025:</w:t>
      </w:r>
    </w:p>
    <w:p w14:paraId="11880856" w14:textId="1EA71CFC" w:rsidR="007C2674" w:rsidRDefault="007C2674" w:rsidP="00711CE0">
      <w:pPr>
        <w:pStyle w:val="3Text"/>
      </w:pPr>
      <w:r w:rsidRPr="00147A6F">
        <w:t>VŽP doporučuje RMČ a ZMČ nabytí pozemků – veřejný park, lokalita Polygrafická (Skanska Residential a.s.).</w:t>
      </w:r>
    </w:p>
    <w:p w14:paraId="21BEB836" w14:textId="77777777" w:rsidR="00636B7A" w:rsidRDefault="00636B7A" w:rsidP="00711CE0">
      <w:pPr>
        <w:pStyle w:val="3Text"/>
      </w:pPr>
    </w:p>
    <w:p w14:paraId="6C1CC8BE" w14:textId="394BFB1C" w:rsidR="000E28FC" w:rsidRDefault="000E28FC" w:rsidP="00711CE0">
      <w:pPr>
        <w:pStyle w:val="2Bod"/>
      </w:pPr>
      <w:r w:rsidRPr="000E28FC">
        <w:t>Různé + iniciativní návrhy členů VŽP</w:t>
      </w:r>
    </w:p>
    <w:p w14:paraId="19603706" w14:textId="212F6C86" w:rsidR="006F01DC" w:rsidRDefault="006F01DC" w:rsidP="00711CE0">
      <w:pPr>
        <w:pStyle w:val="3Text"/>
      </w:pPr>
      <w:r>
        <w:t>Ing. Maršálek</w:t>
      </w:r>
    </w:p>
    <w:p w14:paraId="777DDEAF" w14:textId="17DAEE29" w:rsidR="00DF6300" w:rsidRDefault="00A04517" w:rsidP="00A04517">
      <w:pPr>
        <w:pStyle w:val="3Text"/>
        <w:numPr>
          <w:ilvl w:val="0"/>
          <w:numId w:val="27"/>
        </w:numPr>
        <w:spacing w:after="0"/>
      </w:pPr>
      <w:r>
        <w:t>v</w:t>
      </w:r>
      <w:r w:rsidR="00066D16">
        <w:t> RMČ b</w:t>
      </w:r>
      <w:r>
        <w:t>ude</w:t>
      </w:r>
      <w:r w:rsidR="00066D16">
        <w:t xml:space="preserve"> projednán výběr dodavatele na úpravu záhonů na náměstí Svatopluka Čecha</w:t>
      </w:r>
    </w:p>
    <w:p w14:paraId="2D00B4C6" w14:textId="7F1D1447" w:rsidR="00066D16" w:rsidRDefault="00A92DFC" w:rsidP="00066D16">
      <w:pPr>
        <w:pStyle w:val="3Text"/>
        <w:numPr>
          <w:ilvl w:val="0"/>
          <w:numId w:val="27"/>
        </w:numPr>
      </w:pPr>
      <w:r>
        <w:t xml:space="preserve">je objednáno </w:t>
      </w:r>
      <w:r w:rsidR="00066D16">
        <w:t>navýšení počtu kontejnerů na papír v</w:t>
      </w:r>
      <w:r w:rsidR="00A04517">
        <w:t>e</w:t>
      </w:r>
      <w:r w:rsidR="00066D16">
        <w:t> vánočním období</w:t>
      </w:r>
    </w:p>
    <w:p w14:paraId="27C1C5BB" w14:textId="77777777" w:rsidR="00A92DFC" w:rsidRDefault="00A92DFC" w:rsidP="00A92DFC">
      <w:pPr>
        <w:pStyle w:val="3Text"/>
        <w:ind w:left="720"/>
      </w:pPr>
    </w:p>
    <w:p w14:paraId="0562479D" w14:textId="0A9AAC85" w:rsidR="00066D16" w:rsidRDefault="00066D16" w:rsidP="00066D16">
      <w:pPr>
        <w:pStyle w:val="3Text"/>
      </w:pPr>
      <w:r>
        <w:lastRenderedPageBreak/>
        <w:t>Bc. Pecánek</w:t>
      </w:r>
    </w:p>
    <w:p w14:paraId="273EBC13" w14:textId="046AB2EA" w:rsidR="00066D16" w:rsidRDefault="008F2C0F" w:rsidP="00066D16">
      <w:pPr>
        <w:pStyle w:val="3Text"/>
        <w:numPr>
          <w:ilvl w:val="0"/>
          <w:numId w:val="29"/>
        </w:numPr>
      </w:pPr>
      <w:r>
        <w:t>z MHMP j</w:t>
      </w:r>
      <w:r w:rsidR="00066D16">
        <w:t xml:space="preserve">e požadováno nové projednání stanovišť </w:t>
      </w:r>
      <w:r>
        <w:t>tříděného odpadu</w:t>
      </w:r>
      <w:r w:rsidR="00066D16">
        <w:t xml:space="preserve"> s</w:t>
      </w:r>
      <w:r>
        <w:t> P</w:t>
      </w:r>
      <w:r w:rsidR="00066D16">
        <w:t>olicií</w:t>
      </w:r>
      <w:r>
        <w:t xml:space="preserve"> ČR, do té doby se nebude navyšovat četnost svozu</w:t>
      </w:r>
    </w:p>
    <w:p w14:paraId="569ECF9B" w14:textId="56A70FC6" w:rsidR="00040AE6" w:rsidRPr="00B81A26" w:rsidRDefault="00343F66" w:rsidP="00711CE0">
      <w:pPr>
        <w:pStyle w:val="3Text"/>
      </w:pPr>
      <w:r w:rsidRPr="00343F66">
        <w:t>Jednání bylo ukončeno v</w:t>
      </w:r>
      <w:r w:rsidR="00492DB8">
        <w:t> 1</w:t>
      </w:r>
      <w:r w:rsidR="006F01DC">
        <w:t>8</w:t>
      </w:r>
      <w:r w:rsidR="00492DB8">
        <w:t>:</w:t>
      </w:r>
      <w:r w:rsidR="00711CE0">
        <w:t>16</w:t>
      </w:r>
      <w:r w:rsidRPr="00343F66">
        <w:t xml:space="preserve"> hodin.</w:t>
      </w:r>
    </w:p>
    <w:p w14:paraId="0C36E2DC" w14:textId="2955FA79" w:rsidR="00B81A26" w:rsidRDefault="00DE1D7B" w:rsidP="00711CE0">
      <w:pPr>
        <w:pStyle w:val="3Text"/>
      </w:pPr>
      <w:r w:rsidRPr="00287501">
        <w:t>Součástí zápisu jsou usnesení</w:t>
      </w:r>
      <w:r w:rsidR="007446F1">
        <w:t xml:space="preserve"> výboru č.</w:t>
      </w:r>
      <w:r w:rsidR="00185433">
        <w:t xml:space="preserve"> </w:t>
      </w:r>
      <w:r w:rsidR="00874FBA">
        <w:t>VŽP/</w:t>
      </w:r>
      <w:r w:rsidR="00711CE0">
        <w:t>30</w:t>
      </w:r>
      <w:r w:rsidR="00874FBA">
        <w:t>/1/202</w:t>
      </w:r>
      <w:r w:rsidR="009714A4">
        <w:t>5</w:t>
      </w:r>
      <w:r w:rsidR="006F0F32">
        <w:t>,</w:t>
      </w:r>
      <w:r w:rsidR="00185433">
        <w:t xml:space="preserve"> </w:t>
      </w:r>
      <w:r w:rsidR="006F0F32">
        <w:t>VŽP/</w:t>
      </w:r>
      <w:r w:rsidR="00711CE0">
        <w:t>30</w:t>
      </w:r>
      <w:r w:rsidR="006F0F32">
        <w:t>/2/202</w:t>
      </w:r>
      <w:r w:rsidR="009714A4">
        <w:t>5</w:t>
      </w:r>
      <w:r w:rsidR="00636B7A">
        <w:t>, VŽP/</w:t>
      </w:r>
      <w:r w:rsidR="00711CE0">
        <w:t>30</w:t>
      </w:r>
      <w:r w:rsidR="00636B7A">
        <w:t>/3/2025, VŽP/</w:t>
      </w:r>
      <w:r w:rsidR="00711CE0">
        <w:t>30</w:t>
      </w:r>
      <w:r w:rsidR="00636B7A">
        <w:t>/4/2025</w:t>
      </w:r>
      <w:r w:rsidR="00711CE0">
        <w:t>, VŽP/30/5/2025, VŽP/30/6/2025</w:t>
      </w:r>
      <w:r w:rsidR="00874FBA">
        <w:t>.</w:t>
      </w: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770D77A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46DC2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945E9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B61551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7D280C53" w:rsidR="00B81A26" w:rsidRDefault="00711C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 w:rsidRPr="006F01DC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DF2C880" w14:textId="2802F7EA" w:rsidR="00B81A26" w:rsidRDefault="00747CED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E05C2C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>
        <w:rPr>
          <w:rFonts w:ascii="Arial" w:eastAsia="Calibri" w:hAnsi="Arial" w:cs="Arial"/>
          <w:sz w:val="24"/>
          <w:szCs w:val="24"/>
          <w:lang w:eastAsia="en-US"/>
        </w:rPr>
        <w:t>předseda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4470ECEC" w14:textId="77777777" w:rsidR="00557A25" w:rsidRDefault="00046A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675CA5B" w14:textId="77777777" w:rsidR="00782796" w:rsidRDefault="0078279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836AFC" w14:textId="77777777" w:rsidR="000F3080" w:rsidRDefault="000F308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233750" w14:textId="77777777" w:rsidR="000F3080" w:rsidRDefault="000F308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7EA5D2BD" w14:textId="6561E164" w:rsidR="00492DB8" w:rsidRDefault="00A14ECE" w:rsidP="00421B5E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5437F2FB" w14:textId="2D083AE5" w:rsidR="00B81A26" w:rsidRPr="00287501" w:rsidRDefault="00711C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636B7A">
        <w:rPr>
          <w:rFonts w:ascii="Arial" w:eastAsia="Calibri" w:hAnsi="Arial" w:cs="Arial"/>
          <w:sz w:val="24"/>
          <w:szCs w:val="24"/>
          <w:lang w:eastAsia="en-US"/>
        </w:rPr>
        <w:t>1</w:t>
      </w:r>
      <w:r w:rsidR="0066618F">
        <w:rPr>
          <w:rFonts w:ascii="Arial" w:eastAsia="Calibri" w:hAnsi="Arial" w:cs="Arial"/>
          <w:sz w:val="24"/>
          <w:szCs w:val="24"/>
          <w:lang w:eastAsia="en-US"/>
        </w:rPr>
        <w:t>2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1B1FE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8DC0D74" w14:textId="423122A1" w:rsidR="008867A1" w:rsidRDefault="00040AE6" w:rsidP="006F01DC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2D0B8EA1" w14:textId="77777777" w:rsidR="00D56E13" w:rsidRDefault="008867A1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4CB4F660" w14:textId="77777777" w:rsidR="00D56E13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B6D0241" w14:textId="2F6B9161" w:rsidR="00D56E13" w:rsidRPr="00891CCE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3FFC2C4A" w14:textId="77777777" w:rsidR="00D56E13" w:rsidRPr="00C407A9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483BE0F5" w14:textId="77777777" w:rsidR="00D56E13" w:rsidRPr="00C407A9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24. 11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3C31FB2F" w14:textId="6443B3E0" w:rsidR="00D56E13" w:rsidRPr="00891CCE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C11D1" w:rsidRPr="00CC11D1">
        <w:rPr>
          <w:rFonts w:ascii="Arial" w:eastAsia="Calibri" w:hAnsi="Arial" w:cs="Arial"/>
          <w:sz w:val="24"/>
          <w:szCs w:val="24"/>
          <w:lang w:eastAsia="en-US"/>
        </w:rPr>
        <w:t>Informace o průběhu veřejné zakázky: „Správa a údržba ploch veřejné zeleně na Praze 10 v oblasti Záběhlice“</w:t>
      </w:r>
      <w:r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47E0E4B" w14:textId="77777777" w:rsidR="00D56E13" w:rsidRPr="00891CCE" w:rsidRDefault="00D56E13" w:rsidP="00D56E13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2F73361" w14:textId="77777777" w:rsidR="00D56E13" w:rsidRPr="00936B77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07AEBCC" w14:textId="77777777" w:rsidR="00D56E13" w:rsidRPr="00D406F6" w:rsidRDefault="00D56E13" w:rsidP="00D56E13">
      <w:pPr>
        <w:overflowPunct/>
        <w:ind w:left="-7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D406F6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6B4EFF7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6669E23" w14:textId="0314BEC3" w:rsidR="00D56E13" w:rsidRDefault="00CC11D1" w:rsidP="00D56E13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Pr="00CC11D1">
        <w:rPr>
          <w:rFonts w:ascii="Arial" w:eastAsia="Calibri" w:hAnsi="Arial" w:cs="Arial"/>
          <w:bCs/>
          <w:sz w:val="24"/>
          <w:szCs w:val="24"/>
          <w:lang w:eastAsia="en-US"/>
        </w:rPr>
        <w:t>nformace o průběhu veřejné zakázky: „Správa a údržba ploch veřejné zeleně na Praze 10 v oblasti Záběhlice“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39CD8287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C153868" w14:textId="77777777" w:rsidR="00D56E13" w:rsidRDefault="00D56E13" w:rsidP="00D56E13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521AC91" w14:textId="77777777" w:rsidR="00D56E13" w:rsidRPr="00891CCE" w:rsidRDefault="00D56E13" w:rsidP="00D56E13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D56E13" w:rsidRPr="00891CCE" w14:paraId="6E499661" w14:textId="77777777" w:rsidTr="00D769C6">
        <w:tc>
          <w:tcPr>
            <w:tcW w:w="1842" w:type="dxa"/>
          </w:tcPr>
          <w:p w14:paraId="27E63F1F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47105942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593D2060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190FF631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4647E2F" w14:textId="77777777" w:rsidR="00D56E13" w:rsidRPr="00891CCE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D56E13" w:rsidRPr="00891CCE" w14:paraId="533F2EC6" w14:textId="77777777" w:rsidTr="00D769C6">
        <w:tc>
          <w:tcPr>
            <w:tcW w:w="1842" w:type="dxa"/>
          </w:tcPr>
          <w:p w14:paraId="181B081E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0132A8F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A548A9C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8567AA1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8AB6B46" w14:textId="77777777" w:rsidR="00D56E13" w:rsidRPr="00C407A9" w:rsidRDefault="00D56E13" w:rsidP="00D769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9F253AC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080BCFC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5DEDEAD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2113F21" w14:textId="77777777" w:rsidR="00D56E13" w:rsidRPr="00891CCE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AAFBC3C" w14:textId="77777777" w:rsidR="00D56E13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2D5558A" w14:textId="77777777" w:rsidR="00D56E13" w:rsidRDefault="00D56E13" w:rsidP="00D56E13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3F5FD6" w14:textId="77777777" w:rsidR="00D56E13" w:rsidRPr="006D6CB6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34C39E8" w14:textId="77777777" w:rsidR="00D56E13" w:rsidRDefault="00D56E13" w:rsidP="00D56E13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34B5EC25" w14:textId="3CF02347" w:rsidR="00435BAE" w:rsidRDefault="00D56E13" w:rsidP="008867A1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CC11D1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294AEEFA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463F31C" w14:textId="482620BC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24. 11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72528F" w14:textId="465AF28A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406F6" w:rsidRPr="00D406F6">
        <w:rPr>
          <w:rFonts w:ascii="Arial" w:eastAsia="Calibri" w:hAnsi="Arial" w:cs="Arial"/>
          <w:sz w:val="24"/>
          <w:szCs w:val="24"/>
          <w:lang w:eastAsia="en-US"/>
        </w:rPr>
        <w:t xml:space="preserve">Návrh rozpočtu v kapitole 0021 </w:t>
      </w:r>
      <w:r w:rsidR="00147A6F">
        <w:rPr>
          <w:rFonts w:ascii="Arial" w:eastAsia="Calibri" w:hAnsi="Arial" w:cs="Arial"/>
          <w:sz w:val="24"/>
          <w:szCs w:val="24"/>
          <w:lang w:eastAsia="en-US"/>
        </w:rPr>
        <w:t>Ž</w:t>
      </w:r>
      <w:r w:rsidR="00D406F6" w:rsidRPr="00D406F6">
        <w:rPr>
          <w:rFonts w:ascii="Arial" w:eastAsia="Calibri" w:hAnsi="Arial" w:cs="Arial"/>
          <w:sz w:val="24"/>
          <w:szCs w:val="24"/>
          <w:lang w:eastAsia="en-US"/>
        </w:rPr>
        <w:t>ivotní prostředí na rok 2026</w:t>
      </w:r>
      <w:r w:rsidR="00F102C6" w:rsidRPr="00F102C6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14:paraId="61D62C89" w14:textId="77777777" w:rsidR="00891CCE" w:rsidRP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24C62F" w14:textId="2F92F5C7" w:rsidR="00891CCE" w:rsidRPr="00936B77" w:rsidRDefault="00891CCE" w:rsidP="00936B7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1D3F1DC" w14:textId="43004BFD" w:rsidR="00891CCE" w:rsidRPr="00D406F6" w:rsidRDefault="006D6CB6" w:rsidP="00D406F6">
      <w:pPr>
        <w:overflowPunct/>
        <w:ind w:left="-7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D406F6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F25744" w14:textId="77777777" w:rsid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8C1FF1" w14:textId="4DE6F4B6" w:rsidR="00E726A2" w:rsidRDefault="00D406F6" w:rsidP="006D6CB6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406F6">
        <w:rPr>
          <w:rFonts w:ascii="Arial" w:eastAsia="Calibri" w:hAnsi="Arial" w:cs="Arial"/>
          <w:bCs/>
          <w:sz w:val="24"/>
          <w:szCs w:val="24"/>
          <w:lang w:eastAsia="en-US"/>
        </w:rPr>
        <w:t>návrh rozpočtu na rok 2026 v kapitole 0021 Životní prostředí</w:t>
      </w:r>
      <w:r w:rsidR="00CC11D1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E72F44F" w14:textId="77777777" w:rsidR="00FD5450" w:rsidRDefault="00FD5450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56ABBF5" w14:textId="77777777" w:rsidR="009F783C" w:rsidRDefault="009F783C" w:rsidP="009F783C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F45D3A4" w14:textId="77777777" w:rsidR="009F783C" w:rsidRPr="00891CCE" w:rsidRDefault="009F783C" w:rsidP="009F783C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9F783C" w:rsidRPr="00891CCE" w14:paraId="0F0D3667" w14:textId="77777777">
        <w:tc>
          <w:tcPr>
            <w:tcW w:w="1842" w:type="dxa"/>
          </w:tcPr>
          <w:p w14:paraId="24D505BC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1B49B7E5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76208150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80DD1F2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253C22BB" w14:textId="77777777" w:rsidR="009F783C" w:rsidRPr="00891CCE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9F783C" w:rsidRPr="00891CCE" w14:paraId="0DFE91D9" w14:textId="77777777">
        <w:tc>
          <w:tcPr>
            <w:tcW w:w="1842" w:type="dxa"/>
          </w:tcPr>
          <w:p w14:paraId="08ECD86D" w14:textId="5D620D90" w:rsidR="009F783C" w:rsidRPr="00C407A9" w:rsidRDefault="00D40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1377A42" w14:textId="7C49EBA8" w:rsidR="009F783C" w:rsidRPr="00C407A9" w:rsidRDefault="00D40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859F358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3DD947BE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3A221FC" w14:textId="77777777" w:rsidR="009F783C" w:rsidRPr="00C407A9" w:rsidRDefault="009F7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95A02C4" w14:textId="77777777" w:rsidR="00882B45" w:rsidRPr="00891CCE" w:rsidRDefault="00882B45" w:rsidP="009F783C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2A65102" w14:textId="77777777" w:rsidR="00E726A2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2D668AB" w14:textId="77777777" w:rsidR="00C93F99" w:rsidRDefault="00C93F99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EF81D2B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83808DE" w14:textId="083DFDD6" w:rsidR="00E13214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11582BF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57D34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ABB1C7C" w14:textId="428AA211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7408828" w14:textId="5A6F353A" w:rsidR="00F102C6" w:rsidRPr="00C407A9" w:rsidRDefault="00F102C6" w:rsidP="00F102C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24. 11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2865A6" w14:textId="6B3B2BEB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C11D1" w:rsidRPr="00CC11D1">
        <w:rPr>
          <w:rFonts w:ascii="Arial" w:eastAsia="Calibri" w:hAnsi="Arial" w:cs="Arial"/>
          <w:sz w:val="24"/>
          <w:szCs w:val="24"/>
          <w:lang w:eastAsia="en-US"/>
        </w:rPr>
        <w:t xml:space="preserve">Strategie pro 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D</w:t>
      </w:r>
      <w:r w:rsidR="00CC11D1" w:rsidRPr="00CC11D1">
        <w:rPr>
          <w:rFonts w:ascii="Arial" w:eastAsia="Calibri" w:hAnsi="Arial" w:cs="Arial"/>
          <w:sz w:val="24"/>
          <w:szCs w:val="24"/>
          <w:lang w:eastAsia="en-US"/>
        </w:rPr>
        <w:t>esítku – návrh Akčního plánu v oblasti životního prostředí</w:t>
      </w:r>
    </w:p>
    <w:p w14:paraId="4DD07449" w14:textId="77777777" w:rsidR="00047680" w:rsidRPr="00891CCE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109EC56" w14:textId="77777777" w:rsidR="00047680" w:rsidRPr="00891CCE" w:rsidRDefault="00047680" w:rsidP="00002A04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E9C3B05" w14:textId="64D7D017" w:rsidR="00882B45" w:rsidRPr="006D6CB6" w:rsidRDefault="00CC11D1" w:rsidP="006D6CB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91155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AEBB0D9" w14:textId="4DA1A556" w:rsidR="00882B45" w:rsidRDefault="00CC11D1" w:rsidP="00882B45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47A6F">
        <w:rPr>
          <w:rFonts w:ascii="Arial" w:eastAsia="Calibri" w:hAnsi="Arial" w:cs="Arial"/>
          <w:bCs/>
          <w:sz w:val="24"/>
          <w:szCs w:val="24"/>
          <w:lang w:eastAsia="en-US"/>
        </w:rPr>
        <w:t>návrh Akčního plánu SPUR v oblasti životního prostředí na rok 2026</w:t>
      </w:r>
      <w:r w:rsidR="006D6CB6" w:rsidRPr="00147A6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EEC4861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9A17905" w14:textId="77777777" w:rsidR="00882B45" w:rsidRDefault="00882B45" w:rsidP="00882B45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2AC8F1C" w14:textId="77777777" w:rsidR="00882B45" w:rsidRPr="00891CCE" w:rsidRDefault="00882B45" w:rsidP="00882B45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82B45" w:rsidRPr="00891CCE" w14:paraId="76DE25D3" w14:textId="77777777">
        <w:tc>
          <w:tcPr>
            <w:tcW w:w="1842" w:type="dxa"/>
          </w:tcPr>
          <w:p w14:paraId="30FAD3EE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21A11221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B413D1A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0D1E25D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EE5F469" w14:textId="77777777" w:rsidR="00882B45" w:rsidRPr="00891CCE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82B45" w:rsidRPr="00891CCE" w14:paraId="78625FAC" w14:textId="77777777">
        <w:tc>
          <w:tcPr>
            <w:tcW w:w="1842" w:type="dxa"/>
          </w:tcPr>
          <w:p w14:paraId="435E0D02" w14:textId="17AED346" w:rsidR="00882B45" w:rsidRPr="00C407A9" w:rsidRDefault="00546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A25DB39" w14:textId="79C9BC55" w:rsidR="00882B45" w:rsidRPr="00C407A9" w:rsidRDefault="005464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957D6D9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9DA2510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0CCB5AB" w14:textId="77777777" w:rsidR="00882B45" w:rsidRPr="00C407A9" w:rsidRDefault="00882B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0FD41BE" w14:textId="77777777" w:rsidR="00882B45" w:rsidRDefault="00882B45" w:rsidP="00882B4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5E0658E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65D41BFC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428CE8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246B83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13D4227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E28DD39" w14:textId="77777777" w:rsidR="006D6CB6" w:rsidRPr="006D6CB6" w:rsidRDefault="006D6CB6" w:rsidP="006D6CB6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5803CDA8" w14:textId="77F76464" w:rsidR="00FD5450" w:rsidRDefault="006D6CB6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0C8D8733" w14:textId="77777777" w:rsidR="003831BD" w:rsidRPr="00891CCE" w:rsidRDefault="00FD5450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297465B" w14:textId="77777777" w:rsidR="003831BD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C885DE9" w14:textId="042B0CD0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bookmarkStart w:id="5" w:name="_Hlk214888734"/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068777D5" w14:textId="2DCE0F4C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CC11D1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60CE519" w14:textId="11A0F76E" w:rsidR="003831BD" w:rsidRPr="00C407A9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24. 11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07BDA4D6" w14:textId="2D39FD0F" w:rsidR="003831BD" w:rsidRPr="00891CCE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406F6" w:rsidRPr="00D406F6">
        <w:rPr>
          <w:rFonts w:ascii="Arial" w:eastAsia="Calibri" w:hAnsi="Arial" w:cs="Arial"/>
          <w:sz w:val="24"/>
          <w:szCs w:val="24"/>
          <w:lang w:eastAsia="en-US"/>
        </w:rPr>
        <w:t>EIA zjišťovací řízení „Zařízení k odstraňování, sběru, výkupu a mechanické úpravě odpadů a zpracování elektrozařízení – listopad 2025“</w:t>
      </w:r>
    </w:p>
    <w:p w14:paraId="1169546D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0D8934C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F9778D7" w14:textId="77777777" w:rsidR="003831BD" w:rsidRPr="006D6CB6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5103ACB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05D5CE" w14:textId="329E8138" w:rsidR="003831BD" w:rsidRDefault="00D406F6" w:rsidP="003831BD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406F6">
        <w:rPr>
          <w:rFonts w:ascii="Arial" w:eastAsia="Calibri" w:hAnsi="Arial" w:cs="Arial"/>
          <w:bCs/>
          <w:sz w:val="24"/>
          <w:szCs w:val="24"/>
          <w:lang w:eastAsia="en-US"/>
        </w:rPr>
        <w:t>RMČ požadovat provedení posouzení záměru „Zařízení k odstraňování, sběru, výkupu a mechanické úpravě odpadů a zpracování elektrozařízení – listopad 2025“ v procesu EIA dle zákona č. 100/2001 Sb. v platném znění</w:t>
      </w:r>
      <w:r w:rsidR="003831B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E7F3D7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C8234D5" w14:textId="77777777" w:rsidR="003831BD" w:rsidRDefault="003831BD" w:rsidP="003831BD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A318BEC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831BD" w:rsidRPr="00891CCE" w14:paraId="166F9C9F" w14:textId="77777777">
        <w:tc>
          <w:tcPr>
            <w:tcW w:w="1842" w:type="dxa"/>
          </w:tcPr>
          <w:p w14:paraId="79D1AD9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7BFD0697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34F2CA90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6151CBF4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1A0A4116" w14:textId="77777777" w:rsidR="003831BD" w:rsidRPr="00891CCE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831BD" w:rsidRPr="00891CCE" w14:paraId="6C5C5045" w14:textId="77777777">
        <w:tc>
          <w:tcPr>
            <w:tcW w:w="1842" w:type="dxa"/>
          </w:tcPr>
          <w:p w14:paraId="52D83902" w14:textId="5538B90D" w:rsidR="003831BD" w:rsidRPr="00C407A9" w:rsidRDefault="00CC1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C0FD2E0" w14:textId="74D72CBD" w:rsidR="003831BD" w:rsidRPr="00C407A9" w:rsidRDefault="00CC11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619AA5A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1A90367" w14:textId="04A801F9" w:rsidR="003831BD" w:rsidRPr="00C407A9" w:rsidRDefault="00D406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7BF475E8" w14:textId="77777777" w:rsidR="003831BD" w:rsidRPr="00C407A9" w:rsidRDefault="003831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C80652C" w14:textId="77777777" w:rsidR="003831BD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B6176F" w14:textId="77777777" w:rsidR="003831BD" w:rsidRPr="00891CCE" w:rsidRDefault="003831BD" w:rsidP="003831BD">
      <w:pPr>
        <w:jc w:val="both"/>
        <w:rPr>
          <w:rFonts w:ascii="Arial" w:hAnsi="Arial" w:cs="Arial"/>
          <w:sz w:val="24"/>
          <w:szCs w:val="24"/>
        </w:rPr>
      </w:pPr>
    </w:p>
    <w:p w14:paraId="68ADDDFB" w14:textId="77777777" w:rsidR="003831BD" w:rsidRPr="00891CCE" w:rsidRDefault="003831BD" w:rsidP="003831BD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129CC29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8A22E6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D69C1E0" w14:textId="77777777" w:rsidR="003831BD" w:rsidRPr="00891CCE" w:rsidRDefault="003831BD" w:rsidP="003831BD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D3F6CA4" w14:textId="77777777" w:rsidR="003831BD" w:rsidRPr="006D6CB6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1537A73F" w14:textId="77777777" w:rsidR="003831BD" w:rsidRDefault="003831BD" w:rsidP="003831BD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68D3454A" w14:textId="7E0CEF6B" w:rsidR="00FD5450" w:rsidRDefault="003831B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bookmarkEnd w:id="5"/>
    <w:p w14:paraId="0C16168E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6C03ED" w14:textId="77777777" w:rsidR="00FD5450" w:rsidRPr="00891CCE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38DF79BC" w14:textId="033008D3" w:rsidR="00FD5450" w:rsidRPr="00C407A9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7C2674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704DE494" w14:textId="7CDC259C" w:rsidR="00FD5450" w:rsidRPr="00C407A9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D406F6">
        <w:rPr>
          <w:rFonts w:ascii="Arial" w:eastAsia="Calibri" w:hAnsi="Arial" w:cs="Arial"/>
          <w:sz w:val="24"/>
          <w:szCs w:val="24"/>
          <w:lang w:eastAsia="en-US"/>
        </w:rPr>
        <w:t>24. 11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77470650" w14:textId="4C579ECA" w:rsidR="00FD5450" w:rsidRPr="00891CCE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D2D27" w:rsidRPr="002D2D27">
        <w:rPr>
          <w:rFonts w:ascii="Arial" w:eastAsia="Calibri" w:hAnsi="Arial" w:cs="Arial"/>
          <w:bCs/>
          <w:sz w:val="24"/>
          <w:szCs w:val="24"/>
          <w:lang w:eastAsia="en-US"/>
        </w:rPr>
        <w:t>Návrh na nabytí pozemků – veřejné prostranství a dětské hřiště, lokalita Malešická stráň (JRD Malešice s.r.o.)</w:t>
      </w:r>
    </w:p>
    <w:p w14:paraId="7ACA1156" w14:textId="77777777" w:rsidR="00FD5450" w:rsidRPr="00891CCE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080E33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11157B0B" w14:textId="77777777" w:rsidR="00FD5450" w:rsidRPr="006D6CB6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001E1789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79A1A3" w14:textId="601EFB71" w:rsidR="00FD5450" w:rsidRDefault="002D2D27" w:rsidP="00FD5450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47A6F">
        <w:rPr>
          <w:rFonts w:ascii="Arial" w:eastAsia="Calibri" w:hAnsi="Arial" w:cs="Arial"/>
          <w:bCs/>
          <w:sz w:val="24"/>
          <w:szCs w:val="24"/>
          <w:lang w:eastAsia="en-US"/>
        </w:rPr>
        <w:t xml:space="preserve">RMČ a ZMČ </w:t>
      </w:r>
      <w:r w:rsidR="00147A6F" w:rsidRPr="00147A6F">
        <w:rPr>
          <w:rFonts w:ascii="Arial" w:eastAsia="Calibri" w:hAnsi="Arial" w:cs="Arial"/>
          <w:bCs/>
          <w:sz w:val="24"/>
          <w:szCs w:val="24"/>
          <w:lang w:eastAsia="en-US"/>
        </w:rPr>
        <w:t>nabytí</w:t>
      </w:r>
      <w:r w:rsidRPr="00147A6F">
        <w:rPr>
          <w:rFonts w:ascii="Arial" w:eastAsia="Calibri" w:hAnsi="Arial" w:cs="Arial"/>
          <w:bCs/>
          <w:sz w:val="24"/>
          <w:szCs w:val="24"/>
          <w:lang w:eastAsia="en-US"/>
        </w:rPr>
        <w:t xml:space="preserve"> pozemků – veřejné prostranství a dětské hřiště, lokalita </w:t>
      </w:r>
      <w:r w:rsidR="00147A6F" w:rsidRPr="00147A6F">
        <w:rPr>
          <w:rFonts w:ascii="Arial" w:eastAsia="Calibri" w:hAnsi="Arial" w:cs="Arial"/>
          <w:bCs/>
          <w:sz w:val="24"/>
          <w:szCs w:val="24"/>
          <w:lang w:eastAsia="en-US"/>
        </w:rPr>
        <w:t>„</w:t>
      </w:r>
      <w:r w:rsidRPr="00147A6F">
        <w:rPr>
          <w:rFonts w:ascii="Arial" w:eastAsia="Calibri" w:hAnsi="Arial" w:cs="Arial"/>
          <w:bCs/>
          <w:sz w:val="24"/>
          <w:szCs w:val="24"/>
          <w:lang w:eastAsia="en-US"/>
        </w:rPr>
        <w:t>Malešická stráň</w:t>
      </w:r>
      <w:r w:rsidR="00147A6F" w:rsidRPr="00147A6F">
        <w:rPr>
          <w:rFonts w:ascii="Arial" w:eastAsia="Calibri" w:hAnsi="Arial" w:cs="Arial"/>
          <w:bCs/>
          <w:sz w:val="24"/>
          <w:szCs w:val="24"/>
          <w:lang w:eastAsia="en-US"/>
        </w:rPr>
        <w:t>“</w:t>
      </w:r>
      <w:r w:rsidRPr="00147A6F">
        <w:rPr>
          <w:rFonts w:ascii="Arial" w:eastAsia="Calibri" w:hAnsi="Arial" w:cs="Arial"/>
          <w:bCs/>
          <w:sz w:val="24"/>
          <w:szCs w:val="24"/>
          <w:lang w:eastAsia="en-US"/>
        </w:rPr>
        <w:t xml:space="preserve"> (JRD Malešice s.r.o.)</w:t>
      </w:r>
      <w:r w:rsidR="00147A6F" w:rsidRPr="00147A6F">
        <w:rPr>
          <w:rFonts w:ascii="Arial" w:eastAsia="Calibri" w:hAnsi="Arial" w:cs="Arial"/>
          <w:bCs/>
          <w:sz w:val="24"/>
          <w:szCs w:val="24"/>
          <w:lang w:eastAsia="en-US"/>
        </w:rPr>
        <w:t xml:space="preserve"> v návaznosti na usnesení RMČ č. 631 ze dne 10.8.2020</w:t>
      </w:r>
      <w:r w:rsidR="00FD5450" w:rsidRPr="00147A6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E3AACE7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C07F51C" w14:textId="77777777" w:rsidR="00FD5450" w:rsidRDefault="00FD5450" w:rsidP="00FD5450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852E8D3" w14:textId="77777777" w:rsidR="00FD5450" w:rsidRPr="00891CCE" w:rsidRDefault="00FD5450" w:rsidP="00FD5450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FD5450" w:rsidRPr="00891CCE" w14:paraId="04EA32F1" w14:textId="77777777">
        <w:tc>
          <w:tcPr>
            <w:tcW w:w="1842" w:type="dxa"/>
          </w:tcPr>
          <w:p w14:paraId="0FBA9C3B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0508320B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267482B9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5EC7CBEC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31E6F8F9" w14:textId="77777777" w:rsidR="00FD5450" w:rsidRPr="00891CCE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FD5450" w:rsidRPr="00891CCE" w14:paraId="6E6F7901" w14:textId="77777777">
        <w:tc>
          <w:tcPr>
            <w:tcW w:w="1842" w:type="dxa"/>
          </w:tcPr>
          <w:p w14:paraId="27B0E9CB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4905EAF6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313AD85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24F48C1A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54AF918C" w14:textId="77777777" w:rsidR="00FD5450" w:rsidRPr="00C407A9" w:rsidRDefault="00FD54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58210B3" w14:textId="77777777" w:rsidR="00FD5450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9C78E40" w14:textId="77777777" w:rsidR="00FD5450" w:rsidRPr="00891CCE" w:rsidRDefault="00FD5450" w:rsidP="00FD5450">
      <w:pPr>
        <w:jc w:val="both"/>
        <w:rPr>
          <w:rFonts w:ascii="Arial" w:hAnsi="Arial" w:cs="Arial"/>
          <w:sz w:val="24"/>
          <w:szCs w:val="24"/>
        </w:rPr>
      </w:pPr>
    </w:p>
    <w:p w14:paraId="67A90451" w14:textId="77777777" w:rsidR="00FD5450" w:rsidRPr="00891CCE" w:rsidRDefault="00FD5450" w:rsidP="00FD545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A1773D0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0C2CAFA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BF1BF8C" w14:textId="77777777" w:rsidR="00FD5450" w:rsidRPr="00891CCE" w:rsidRDefault="00FD5450" w:rsidP="00FD545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44E38D2" w14:textId="77777777" w:rsidR="00FD5450" w:rsidRPr="006D6CB6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71FFA8B0" w14:textId="18302776" w:rsidR="002D2D27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0A66A22D" w14:textId="77777777" w:rsidR="002D2D27" w:rsidRDefault="002D2D27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19308FE0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70C41D0" w14:textId="77777777" w:rsidR="002D2D27" w:rsidRPr="00891CCE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2C45C6AB" w14:textId="7BD94276" w:rsidR="002D2D27" w:rsidRPr="00C407A9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7C2674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0BE35C93" w14:textId="77777777" w:rsidR="002D2D27" w:rsidRPr="00C407A9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24. 11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2C632DB3" w14:textId="31F58161" w:rsidR="002D2D27" w:rsidRPr="00891CCE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2D27">
        <w:rPr>
          <w:rFonts w:ascii="Arial" w:eastAsia="Calibri" w:hAnsi="Arial" w:cs="Arial"/>
          <w:bCs/>
          <w:sz w:val="24"/>
          <w:szCs w:val="24"/>
          <w:lang w:eastAsia="en-US"/>
        </w:rPr>
        <w:t>Návrh na budoucí nabytí pozemků – veřejný park, lokalita Polygrafická (Skanska Residential a.s.)</w:t>
      </w:r>
    </w:p>
    <w:p w14:paraId="73DCEBA3" w14:textId="77777777" w:rsidR="002D2D27" w:rsidRPr="00891CCE" w:rsidRDefault="002D2D27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D48D495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E104872" w14:textId="77777777" w:rsidR="002D2D27" w:rsidRPr="006D6CB6" w:rsidRDefault="002D2D27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01B8220C" w14:textId="77777777" w:rsidR="002D2D27" w:rsidRDefault="002D2D27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FFED7BE" w14:textId="4A4D9A61" w:rsidR="002D2D27" w:rsidRDefault="002D2D27" w:rsidP="002D2D27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47A6F">
        <w:rPr>
          <w:rFonts w:ascii="Arial" w:eastAsia="Calibri" w:hAnsi="Arial" w:cs="Arial"/>
          <w:bCs/>
          <w:sz w:val="24"/>
          <w:szCs w:val="24"/>
          <w:lang w:eastAsia="en-US"/>
        </w:rPr>
        <w:t xml:space="preserve">RMČ </w:t>
      </w:r>
      <w:r w:rsidR="00CC11D1" w:rsidRPr="00147A6F">
        <w:rPr>
          <w:rFonts w:ascii="Arial" w:eastAsia="Calibri" w:hAnsi="Arial" w:cs="Arial"/>
          <w:bCs/>
          <w:sz w:val="24"/>
          <w:szCs w:val="24"/>
          <w:lang w:eastAsia="en-US"/>
        </w:rPr>
        <w:t xml:space="preserve">a ZMČ </w:t>
      </w:r>
      <w:r w:rsidRPr="00147A6F">
        <w:rPr>
          <w:rFonts w:ascii="Arial" w:eastAsia="Calibri" w:hAnsi="Arial" w:cs="Arial"/>
          <w:bCs/>
          <w:sz w:val="24"/>
          <w:szCs w:val="24"/>
          <w:lang w:eastAsia="en-US"/>
        </w:rPr>
        <w:t>nabytí pozemků – veřejný park, lokalita Polygrafická (Skanska Residential a.s.).</w:t>
      </w:r>
    </w:p>
    <w:p w14:paraId="3EA73C0A" w14:textId="77777777" w:rsidR="002D2D27" w:rsidRDefault="002D2D27" w:rsidP="002D2D27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0B715F7" w14:textId="77777777" w:rsidR="002D2D27" w:rsidRDefault="002D2D27" w:rsidP="002D2D27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AD25F65" w14:textId="77777777" w:rsidR="002D2D27" w:rsidRPr="00891CCE" w:rsidRDefault="002D2D27" w:rsidP="002D2D27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2D2D27" w:rsidRPr="00891CCE" w14:paraId="59ED8301" w14:textId="77777777" w:rsidTr="007F17DD">
        <w:tc>
          <w:tcPr>
            <w:tcW w:w="1842" w:type="dxa"/>
          </w:tcPr>
          <w:p w14:paraId="73A2AE82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430DA524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7D852FEA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798C1C0A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0F1CAB8A" w14:textId="77777777" w:rsidR="002D2D27" w:rsidRPr="00891CCE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2D2D27" w:rsidRPr="00891CCE" w14:paraId="70275C92" w14:textId="77777777" w:rsidTr="007F17DD">
        <w:tc>
          <w:tcPr>
            <w:tcW w:w="1842" w:type="dxa"/>
          </w:tcPr>
          <w:p w14:paraId="07C7AE36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272EFDD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E68A522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6F93FDDD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B7EF26F" w14:textId="77777777" w:rsidR="002D2D27" w:rsidRPr="00C407A9" w:rsidRDefault="002D2D27" w:rsidP="007F17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1173B7C" w14:textId="77777777" w:rsidR="002D2D27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351D3FE" w14:textId="77777777" w:rsidR="002D2D27" w:rsidRPr="00891CCE" w:rsidRDefault="002D2D27" w:rsidP="002D2D27">
      <w:pPr>
        <w:jc w:val="both"/>
        <w:rPr>
          <w:rFonts w:ascii="Arial" w:hAnsi="Arial" w:cs="Arial"/>
          <w:sz w:val="24"/>
          <w:szCs w:val="24"/>
        </w:rPr>
      </w:pPr>
    </w:p>
    <w:p w14:paraId="553EB035" w14:textId="77777777" w:rsidR="002D2D27" w:rsidRPr="00891CCE" w:rsidRDefault="002D2D27" w:rsidP="002D2D27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0FAC189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EDF8E46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3161BD51" w14:textId="77777777" w:rsidR="002D2D27" w:rsidRPr="00891CCE" w:rsidRDefault="002D2D27" w:rsidP="002D2D27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A89483" w14:textId="77777777" w:rsidR="002D2D27" w:rsidRPr="006D6CB6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17560F07" w14:textId="77777777" w:rsidR="002D2D27" w:rsidRDefault="002D2D27" w:rsidP="002D2D27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D6CB6">
        <w:rPr>
          <w:rFonts w:ascii="Arial" w:eastAsia="Calibri" w:hAnsi="Arial" w:cs="Arial"/>
          <w:sz w:val="24"/>
          <w:szCs w:val="24"/>
          <w:lang w:eastAsia="en-US"/>
        </w:rPr>
        <w:t xml:space="preserve">předseda </w:t>
      </w:r>
      <w:r>
        <w:rPr>
          <w:rFonts w:ascii="Arial" w:eastAsia="Calibri" w:hAnsi="Arial" w:cs="Arial"/>
          <w:sz w:val="24"/>
          <w:szCs w:val="24"/>
          <w:lang w:eastAsia="en-US"/>
        </w:rPr>
        <w:t>V</w:t>
      </w:r>
      <w:r w:rsidRPr="006D6CB6">
        <w:rPr>
          <w:rFonts w:ascii="Arial" w:eastAsia="Calibri" w:hAnsi="Arial" w:cs="Arial"/>
          <w:sz w:val="24"/>
          <w:szCs w:val="24"/>
          <w:lang w:eastAsia="en-US"/>
        </w:rPr>
        <w:t>ýboru pro životní prostředí ZMČ P 10</w:t>
      </w:r>
    </w:p>
    <w:p w14:paraId="5B8B442D" w14:textId="77777777" w:rsidR="002D2D27" w:rsidRPr="00891CCE" w:rsidRDefault="002D2D27" w:rsidP="002D2D27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70FE77A" w14:textId="77777777" w:rsidR="00FD5450" w:rsidRDefault="00FD5450" w:rsidP="00FD545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D6A8838" w14:textId="24EE92A4" w:rsidR="00A84C0E" w:rsidRPr="00891CCE" w:rsidRDefault="00A84C0E" w:rsidP="003831BD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A84C0E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8066" w14:textId="77777777" w:rsidR="004A4933" w:rsidRDefault="004A4933">
      <w:r>
        <w:separator/>
      </w:r>
    </w:p>
  </w:endnote>
  <w:endnote w:type="continuationSeparator" w:id="0">
    <w:p w14:paraId="7B35DFD6" w14:textId="77777777" w:rsidR="004A4933" w:rsidRDefault="004A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32F3" w14:textId="77777777" w:rsidR="004A4933" w:rsidRDefault="004A4933">
      <w:r>
        <w:separator/>
      </w:r>
    </w:p>
  </w:footnote>
  <w:footnote w:type="continuationSeparator" w:id="0">
    <w:p w14:paraId="1D56934E" w14:textId="77777777" w:rsidR="004A4933" w:rsidRDefault="004A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53465AB8" w:rsidR="000D2EAA" w:rsidRPr="00FA5A44" w:rsidRDefault="00AA434C" w:rsidP="00FA5A44">
    <w:pPr>
      <w:pStyle w:val="Zhlav"/>
      <w:jc w:val="right"/>
      <w:rPr>
        <w:rFonts w:ascii="Arial" w:hAnsi="Arial" w:cs="Arial"/>
      </w:rPr>
    </w:pPr>
    <w:r w:rsidRPr="00AA434C">
      <w:rPr>
        <w:rFonts w:ascii="Arial" w:hAnsi="Arial" w:cs="Arial"/>
      </w:rPr>
      <w:t>P10-710680/2025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1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3" w15:restartNumberingAfterBreak="0">
    <w:nsid w:val="18343881"/>
    <w:multiLevelType w:val="hybridMultilevel"/>
    <w:tmpl w:val="B5DE9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51990"/>
    <w:multiLevelType w:val="hybridMultilevel"/>
    <w:tmpl w:val="A25C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F1D26AB"/>
    <w:multiLevelType w:val="hybridMultilevel"/>
    <w:tmpl w:val="A2F624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6040D"/>
    <w:multiLevelType w:val="hybridMultilevel"/>
    <w:tmpl w:val="16CE3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94BF9"/>
    <w:multiLevelType w:val="hybridMultilevel"/>
    <w:tmpl w:val="834C66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0" w15:restartNumberingAfterBreak="0">
    <w:nsid w:val="5FE06CF8"/>
    <w:multiLevelType w:val="hybridMultilevel"/>
    <w:tmpl w:val="85580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D3B0B"/>
    <w:multiLevelType w:val="hybridMultilevel"/>
    <w:tmpl w:val="359616CA"/>
    <w:lvl w:ilvl="0" w:tplc="E5D6F118">
      <w:start w:val="1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14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2019110850">
    <w:abstractNumId w:val="13"/>
  </w:num>
  <w:num w:numId="2" w16cid:durableId="1661930316">
    <w:abstractNumId w:val="5"/>
  </w:num>
  <w:num w:numId="3" w16cid:durableId="420179992">
    <w:abstractNumId w:val="2"/>
  </w:num>
  <w:num w:numId="4" w16cid:durableId="468329056">
    <w:abstractNumId w:val="14"/>
  </w:num>
  <w:num w:numId="5" w16cid:durableId="44329594">
    <w:abstractNumId w:val="9"/>
  </w:num>
  <w:num w:numId="6" w16cid:durableId="129791404">
    <w:abstractNumId w:val="0"/>
  </w:num>
  <w:num w:numId="7" w16cid:durableId="411510368">
    <w:abstractNumId w:val="1"/>
  </w:num>
  <w:num w:numId="8" w16cid:durableId="1323853389">
    <w:abstractNumId w:val="11"/>
  </w:num>
  <w:num w:numId="9" w16cid:durableId="561257455">
    <w:abstractNumId w:val="12"/>
  </w:num>
  <w:num w:numId="10" w16cid:durableId="1762137070">
    <w:abstractNumId w:val="7"/>
  </w:num>
  <w:num w:numId="11" w16cid:durableId="309867117">
    <w:abstractNumId w:val="6"/>
  </w:num>
  <w:num w:numId="12" w16cid:durableId="2009943168">
    <w:abstractNumId w:val="11"/>
    <w:lvlOverride w:ilvl="0">
      <w:startOverride w:val="1"/>
    </w:lvlOverride>
  </w:num>
  <w:num w:numId="13" w16cid:durableId="1214391429">
    <w:abstractNumId w:val="8"/>
  </w:num>
  <w:num w:numId="14" w16cid:durableId="2090226754">
    <w:abstractNumId w:val="12"/>
    <w:lvlOverride w:ilvl="0">
      <w:startOverride w:val="4"/>
    </w:lvlOverride>
  </w:num>
  <w:num w:numId="15" w16cid:durableId="1214001256">
    <w:abstractNumId w:val="12"/>
    <w:lvlOverride w:ilvl="0">
      <w:startOverride w:val="3"/>
    </w:lvlOverride>
  </w:num>
  <w:num w:numId="16" w16cid:durableId="1345353012">
    <w:abstractNumId w:val="12"/>
    <w:lvlOverride w:ilvl="0">
      <w:startOverride w:val="5"/>
    </w:lvlOverride>
  </w:num>
  <w:num w:numId="17" w16cid:durableId="932474821">
    <w:abstractNumId w:val="3"/>
  </w:num>
  <w:num w:numId="18" w16cid:durableId="398480367">
    <w:abstractNumId w:val="15"/>
  </w:num>
  <w:num w:numId="19" w16cid:durableId="803087634">
    <w:abstractNumId w:val="11"/>
    <w:lvlOverride w:ilvl="0">
      <w:startOverride w:val="1"/>
    </w:lvlOverride>
  </w:num>
  <w:num w:numId="20" w16cid:durableId="977151577">
    <w:abstractNumId w:val="11"/>
    <w:lvlOverride w:ilvl="0">
      <w:startOverride w:val="1"/>
    </w:lvlOverride>
  </w:num>
  <w:num w:numId="21" w16cid:durableId="392194769">
    <w:abstractNumId w:val="11"/>
    <w:lvlOverride w:ilvl="0">
      <w:startOverride w:val="1"/>
    </w:lvlOverride>
  </w:num>
  <w:num w:numId="22" w16cid:durableId="1417750762">
    <w:abstractNumId w:val="11"/>
    <w:lvlOverride w:ilvl="0">
      <w:startOverride w:val="1"/>
    </w:lvlOverride>
  </w:num>
  <w:num w:numId="23" w16cid:durableId="413360738">
    <w:abstractNumId w:val="11"/>
    <w:lvlOverride w:ilvl="0">
      <w:startOverride w:val="1"/>
    </w:lvlOverride>
  </w:num>
  <w:num w:numId="24" w16cid:durableId="2098089055">
    <w:abstractNumId w:val="11"/>
    <w:lvlOverride w:ilvl="0">
      <w:startOverride w:val="1"/>
    </w:lvlOverride>
  </w:num>
  <w:num w:numId="25" w16cid:durableId="1188526944">
    <w:abstractNumId w:val="11"/>
    <w:lvlOverride w:ilvl="0">
      <w:startOverride w:val="1"/>
    </w:lvlOverride>
  </w:num>
  <w:num w:numId="26" w16cid:durableId="1353800142">
    <w:abstractNumId w:val="11"/>
    <w:lvlOverride w:ilvl="0">
      <w:startOverride w:val="1"/>
    </w:lvlOverride>
  </w:num>
  <w:num w:numId="27" w16cid:durableId="1307082442">
    <w:abstractNumId w:val="10"/>
  </w:num>
  <w:num w:numId="28" w16cid:durableId="243497482">
    <w:abstractNumId w:val="11"/>
    <w:lvlOverride w:ilvl="0">
      <w:startOverride w:val="1"/>
    </w:lvlOverride>
  </w:num>
  <w:num w:numId="29" w16cid:durableId="84937438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1A12"/>
    <w:rsid w:val="00002A04"/>
    <w:rsid w:val="00006684"/>
    <w:rsid w:val="00006A4C"/>
    <w:rsid w:val="00006C14"/>
    <w:rsid w:val="00007D90"/>
    <w:rsid w:val="00014089"/>
    <w:rsid w:val="00014F56"/>
    <w:rsid w:val="00015B90"/>
    <w:rsid w:val="00017BF5"/>
    <w:rsid w:val="000204FF"/>
    <w:rsid w:val="000208E4"/>
    <w:rsid w:val="00021721"/>
    <w:rsid w:val="00022939"/>
    <w:rsid w:val="000234DB"/>
    <w:rsid w:val="00024480"/>
    <w:rsid w:val="00024DEE"/>
    <w:rsid w:val="00024E5E"/>
    <w:rsid w:val="00027004"/>
    <w:rsid w:val="000377AF"/>
    <w:rsid w:val="000377FE"/>
    <w:rsid w:val="00040AE6"/>
    <w:rsid w:val="000436B8"/>
    <w:rsid w:val="0004407C"/>
    <w:rsid w:val="00046AE0"/>
    <w:rsid w:val="00046FB8"/>
    <w:rsid w:val="00047680"/>
    <w:rsid w:val="00047869"/>
    <w:rsid w:val="00050225"/>
    <w:rsid w:val="00056F39"/>
    <w:rsid w:val="00060397"/>
    <w:rsid w:val="000643E2"/>
    <w:rsid w:val="00064401"/>
    <w:rsid w:val="00064579"/>
    <w:rsid w:val="000669B0"/>
    <w:rsid w:val="00066D16"/>
    <w:rsid w:val="000700FD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7941"/>
    <w:rsid w:val="00091A83"/>
    <w:rsid w:val="00092427"/>
    <w:rsid w:val="00092F45"/>
    <w:rsid w:val="00095FCC"/>
    <w:rsid w:val="00096DC0"/>
    <w:rsid w:val="000A1D29"/>
    <w:rsid w:val="000A246B"/>
    <w:rsid w:val="000A2743"/>
    <w:rsid w:val="000A71D7"/>
    <w:rsid w:val="000B1AEA"/>
    <w:rsid w:val="000B3145"/>
    <w:rsid w:val="000B3273"/>
    <w:rsid w:val="000B4966"/>
    <w:rsid w:val="000B5BB9"/>
    <w:rsid w:val="000B6416"/>
    <w:rsid w:val="000C0DE1"/>
    <w:rsid w:val="000C5B1A"/>
    <w:rsid w:val="000C5FD8"/>
    <w:rsid w:val="000C6129"/>
    <w:rsid w:val="000D0446"/>
    <w:rsid w:val="000D115C"/>
    <w:rsid w:val="000D13E8"/>
    <w:rsid w:val="000D19AC"/>
    <w:rsid w:val="000D2EAA"/>
    <w:rsid w:val="000D3338"/>
    <w:rsid w:val="000E0DE2"/>
    <w:rsid w:val="000E124E"/>
    <w:rsid w:val="000E17CD"/>
    <w:rsid w:val="000E28FC"/>
    <w:rsid w:val="000E3991"/>
    <w:rsid w:val="000F08F5"/>
    <w:rsid w:val="000F1FF1"/>
    <w:rsid w:val="000F3080"/>
    <w:rsid w:val="000F76F7"/>
    <w:rsid w:val="00100C0C"/>
    <w:rsid w:val="00101EB6"/>
    <w:rsid w:val="00102BBD"/>
    <w:rsid w:val="00104414"/>
    <w:rsid w:val="001047F5"/>
    <w:rsid w:val="00104983"/>
    <w:rsid w:val="0010549C"/>
    <w:rsid w:val="00106B3E"/>
    <w:rsid w:val="001113BC"/>
    <w:rsid w:val="001135BE"/>
    <w:rsid w:val="00114194"/>
    <w:rsid w:val="00115D3E"/>
    <w:rsid w:val="001163D3"/>
    <w:rsid w:val="00116F80"/>
    <w:rsid w:val="00117AF1"/>
    <w:rsid w:val="00121E84"/>
    <w:rsid w:val="0012285D"/>
    <w:rsid w:val="00125D20"/>
    <w:rsid w:val="00126C87"/>
    <w:rsid w:val="00133A6A"/>
    <w:rsid w:val="00133F31"/>
    <w:rsid w:val="00140848"/>
    <w:rsid w:val="001413D6"/>
    <w:rsid w:val="00142444"/>
    <w:rsid w:val="001427E8"/>
    <w:rsid w:val="00142EA0"/>
    <w:rsid w:val="00143279"/>
    <w:rsid w:val="00143C83"/>
    <w:rsid w:val="001440D3"/>
    <w:rsid w:val="0014738C"/>
    <w:rsid w:val="00147A6F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1C35"/>
    <w:rsid w:val="001674C5"/>
    <w:rsid w:val="001706FB"/>
    <w:rsid w:val="00170F92"/>
    <w:rsid w:val="00172581"/>
    <w:rsid w:val="001735CE"/>
    <w:rsid w:val="00173ED0"/>
    <w:rsid w:val="00175CBD"/>
    <w:rsid w:val="001762A2"/>
    <w:rsid w:val="00176826"/>
    <w:rsid w:val="00181C34"/>
    <w:rsid w:val="00184CC5"/>
    <w:rsid w:val="00185433"/>
    <w:rsid w:val="00187030"/>
    <w:rsid w:val="00194EAD"/>
    <w:rsid w:val="001953BF"/>
    <w:rsid w:val="00195461"/>
    <w:rsid w:val="00196F7C"/>
    <w:rsid w:val="001A13E8"/>
    <w:rsid w:val="001A2564"/>
    <w:rsid w:val="001A2F33"/>
    <w:rsid w:val="001A65D6"/>
    <w:rsid w:val="001B1AC6"/>
    <w:rsid w:val="001B1FE9"/>
    <w:rsid w:val="001B2899"/>
    <w:rsid w:val="001B3B94"/>
    <w:rsid w:val="001B5177"/>
    <w:rsid w:val="001B5293"/>
    <w:rsid w:val="001B6D0F"/>
    <w:rsid w:val="001B7008"/>
    <w:rsid w:val="001B7102"/>
    <w:rsid w:val="001C3390"/>
    <w:rsid w:val="001C369F"/>
    <w:rsid w:val="001C5431"/>
    <w:rsid w:val="001D1D05"/>
    <w:rsid w:val="001D37DE"/>
    <w:rsid w:val="001D69AF"/>
    <w:rsid w:val="001D7075"/>
    <w:rsid w:val="001E1DB5"/>
    <w:rsid w:val="001E2E0F"/>
    <w:rsid w:val="001E30F5"/>
    <w:rsid w:val="001E337C"/>
    <w:rsid w:val="001E7D30"/>
    <w:rsid w:val="001E7EB1"/>
    <w:rsid w:val="001F06AE"/>
    <w:rsid w:val="001F294A"/>
    <w:rsid w:val="001F5C91"/>
    <w:rsid w:val="001F5F5E"/>
    <w:rsid w:val="001F73C7"/>
    <w:rsid w:val="001F7CD3"/>
    <w:rsid w:val="002014AF"/>
    <w:rsid w:val="00202BDF"/>
    <w:rsid w:val="002040CB"/>
    <w:rsid w:val="00205711"/>
    <w:rsid w:val="0020595B"/>
    <w:rsid w:val="002070B5"/>
    <w:rsid w:val="00213E30"/>
    <w:rsid w:val="00214FA5"/>
    <w:rsid w:val="002155E8"/>
    <w:rsid w:val="00215F7F"/>
    <w:rsid w:val="002226B8"/>
    <w:rsid w:val="002261F9"/>
    <w:rsid w:val="00231AB5"/>
    <w:rsid w:val="00232B40"/>
    <w:rsid w:val="00234A1A"/>
    <w:rsid w:val="0023620D"/>
    <w:rsid w:val="00237551"/>
    <w:rsid w:val="002424A3"/>
    <w:rsid w:val="00243D51"/>
    <w:rsid w:val="00244C02"/>
    <w:rsid w:val="00247B20"/>
    <w:rsid w:val="00250B03"/>
    <w:rsid w:val="002512C0"/>
    <w:rsid w:val="00251A0F"/>
    <w:rsid w:val="00251D39"/>
    <w:rsid w:val="00252946"/>
    <w:rsid w:val="00254BAF"/>
    <w:rsid w:val="0025567B"/>
    <w:rsid w:val="00256483"/>
    <w:rsid w:val="002641B5"/>
    <w:rsid w:val="00264502"/>
    <w:rsid w:val="00265714"/>
    <w:rsid w:val="002674C3"/>
    <w:rsid w:val="00267939"/>
    <w:rsid w:val="002726A0"/>
    <w:rsid w:val="0027326D"/>
    <w:rsid w:val="00273EF1"/>
    <w:rsid w:val="00275A87"/>
    <w:rsid w:val="00275E45"/>
    <w:rsid w:val="00276047"/>
    <w:rsid w:val="00276C5F"/>
    <w:rsid w:val="00280FB7"/>
    <w:rsid w:val="00281CCB"/>
    <w:rsid w:val="00281F6C"/>
    <w:rsid w:val="00282F51"/>
    <w:rsid w:val="00284F64"/>
    <w:rsid w:val="00285CF3"/>
    <w:rsid w:val="00287501"/>
    <w:rsid w:val="00292147"/>
    <w:rsid w:val="00293E8D"/>
    <w:rsid w:val="00294749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530"/>
    <w:rsid w:val="002D28B2"/>
    <w:rsid w:val="002D2D27"/>
    <w:rsid w:val="002D41A8"/>
    <w:rsid w:val="002D54C5"/>
    <w:rsid w:val="002D67BE"/>
    <w:rsid w:val="002E02D7"/>
    <w:rsid w:val="002E0C1D"/>
    <w:rsid w:val="002E16F4"/>
    <w:rsid w:val="002E403B"/>
    <w:rsid w:val="002E433F"/>
    <w:rsid w:val="002E5460"/>
    <w:rsid w:val="002E5E48"/>
    <w:rsid w:val="002E73BB"/>
    <w:rsid w:val="002F0903"/>
    <w:rsid w:val="002F240E"/>
    <w:rsid w:val="002F420B"/>
    <w:rsid w:val="003009AF"/>
    <w:rsid w:val="00302200"/>
    <w:rsid w:val="00306475"/>
    <w:rsid w:val="0030783B"/>
    <w:rsid w:val="00307F27"/>
    <w:rsid w:val="0031007F"/>
    <w:rsid w:val="00311969"/>
    <w:rsid w:val="003137B7"/>
    <w:rsid w:val="00315FBC"/>
    <w:rsid w:val="003165C7"/>
    <w:rsid w:val="003165E8"/>
    <w:rsid w:val="00322C4F"/>
    <w:rsid w:val="00322E61"/>
    <w:rsid w:val="00322F91"/>
    <w:rsid w:val="003239DA"/>
    <w:rsid w:val="00323B6B"/>
    <w:rsid w:val="00323EF7"/>
    <w:rsid w:val="003257E8"/>
    <w:rsid w:val="0033029A"/>
    <w:rsid w:val="0033042C"/>
    <w:rsid w:val="00330813"/>
    <w:rsid w:val="00331C49"/>
    <w:rsid w:val="00331EB3"/>
    <w:rsid w:val="003322EC"/>
    <w:rsid w:val="003333DA"/>
    <w:rsid w:val="00335E9A"/>
    <w:rsid w:val="00337D41"/>
    <w:rsid w:val="00340F28"/>
    <w:rsid w:val="00343F66"/>
    <w:rsid w:val="00345E01"/>
    <w:rsid w:val="00350A48"/>
    <w:rsid w:val="00350D54"/>
    <w:rsid w:val="00353DCC"/>
    <w:rsid w:val="00354077"/>
    <w:rsid w:val="0035549A"/>
    <w:rsid w:val="00355B16"/>
    <w:rsid w:val="003566C8"/>
    <w:rsid w:val="00356A44"/>
    <w:rsid w:val="00360F8E"/>
    <w:rsid w:val="00362B36"/>
    <w:rsid w:val="0036375D"/>
    <w:rsid w:val="00363BDC"/>
    <w:rsid w:val="00364C84"/>
    <w:rsid w:val="00366EBA"/>
    <w:rsid w:val="00370245"/>
    <w:rsid w:val="00372CEC"/>
    <w:rsid w:val="003730AC"/>
    <w:rsid w:val="003737D2"/>
    <w:rsid w:val="0037466B"/>
    <w:rsid w:val="00375431"/>
    <w:rsid w:val="003769DC"/>
    <w:rsid w:val="00380277"/>
    <w:rsid w:val="00381DA6"/>
    <w:rsid w:val="003829E9"/>
    <w:rsid w:val="00382D18"/>
    <w:rsid w:val="003831BD"/>
    <w:rsid w:val="00383D9E"/>
    <w:rsid w:val="003848CC"/>
    <w:rsid w:val="00385794"/>
    <w:rsid w:val="003867D3"/>
    <w:rsid w:val="00387CC6"/>
    <w:rsid w:val="003922FA"/>
    <w:rsid w:val="003923BF"/>
    <w:rsid w:val="00396C26"/>
    <w:rsid w:val="003A014B"/>
    <w:rsid w:val="003A1200"/>
    <w:rsid w:val="003A1487"/>
    <w:rsid w:val="003A179E"/>
    <w:rsid w:val="003A4CCF"/>
    <w:rsid w:val="003A657C"/>
    <w:rsid w:val="003B1716"/>
    <w:rsid w:val="003B2694"/>
    <w:rsid w:val="003B325F"/>
    <w:rsid w:val="003B6DA1"/>
    <w:rsid w:val="003B6F6B"/>
    <w:rsid w:val="003C0E59"/>
    <w:rsid w:val="003C11E3"/>
    <w:rsid w:val="003C1C26"/>
    <w:rsid w:val="003C335C"/>
    <w:rsid w:val="003C3F55"/>
    <w:rsid w:val="003C66F2"/>
    <w:rsid w:val="003C797A"/>
    <w:rsid w:val="003D0008"/>
    <w:rsid w:val="003D07AD"/>
    <w:rsid w:val="003D131B"/>
    <w:rsid w:val="003D2E61"/>
    <w:rsid w:val="003E155C"/>
    <w:rsid w:val="003E2241"/>
    <w:rsid w:val="003E6803"/>
    <w:rsid w:val="003F1797"/>
    <w:rsid w:val="003F36E1"/>
    <w:rsid w:val="003F4973"/>
    <w:rsid w:val="003F5FDA"/>
    <w:rsid w:val="003F6120"/>
    <w:rsid w:val="00406163"/>
    <w:rsid w:val="004070E2"/>
    <w:rsid w:val="00407670"/>
    <w:rsid w:val="00410B1C"/>
    <w:rsid w:val="00410FA1"/>
    <w:rsid w:val="0041356A"/>
    <w:rsid w:val="00414B11"/>
    <w:rsid w:val="004177EA"/>
    <w:rsid w:val="00420150"/>
    <w:rsid w:val="004206BA"/>
    <w:rsid w:val="00421B5E"/>
    <w:rsid w:val="00421CBD"/>
    <w:rsid w:val="00425303"/>
    <w:rsid w:val="004265DB"/>
    <w:rsid w:val="00430CE8"/>
    <w:rsid w:val="0043591B"/>
    <w:rsid w:val="00435BAE"/>
    <w:rsid w:val="00436B19"/>
    <w:rsid w:val="00437A8C"/>
    <w:rsid w:val="004431F2"/>
    <w:rsid w:val="00444B01"/>
    <w:rsid w:val="004450D6"/>
    <w:rsid w:val="004461A8"/>
    <w:rsid w:val="00447F21"/>
    <w:rsid w:val="004502CB"/>
    <w:rsid w:val="00455D1C"/>
    <w:rsid w:val="00456DFF"/>
    <w:rsid w:val="004573F9"/>
    <w:rsid w:val="0046122B"/>
    <w:rsid w:val="00467CFC"/>
    <w:rsid w:val="00471A6D"/>
    <w:rsid w:val="00471F59"/>
    <w:rsid w:val="00474B39"/>
    <w:rsid w:val="004773F1"/>
    <w:rsid w:val="00477631"/>
    <w:rsid w:val="0048372D"/>
    <w:rsid w:val="00487693"/>
    <w:rsid w:val="004876BB"/>
    <w:rsid w:val="004908A0"/>
    <w:rsid w:val="00490FDF"/>
    <w:rsid w:val="00491C50"/>
    <w:rsid w:val="00492DB8"/>
    <w:rsid w:val="0049491E"/>
    <w:rsid w:val="004967E8"/>
    <w:rsid w:val="004974DB"/>
    <w:rsid w:val="004A0369"/>
    <w:rsid w:val="004A0724"/>
    <w:rsid w:val="004A07D9"/>
    <w:rsid w:val="004A0C4D"/>
    <w:rsid w:val="004A1891"/>
    <w:rsid w:val="004A4933"/>
    <w:rsid w:val="004A6B47"/>
    <w:rsid w:val="004A6E66"/>
    <w:rsid w:val="004A71F7"/>
    <w:rsid w:val="004A729E"/>
    <w:rsid w:val="004B04C3"/>
    <w:rsid w:val="004B0639"/>
    <w:rsid w:val="004B7FF8"/>
    <w:rsid w:val="004C0B3D"/>
    <w:rsid w:val="004C0FC9"/>
    <w:rsid w:val="004C32E7"/>
    <w:rsid w:val="004C5FB0"/>
    <w:rsid w:val="004C6B34"/>
    <w:rsid w:val="004D2CE2"/>
    <w:rsid w:val="004D3E2E"/>
    <w:rsid w:val="004D3E5E"/>
    <w:rsid w:val="004D415F"/>
    <w:rsid w:val="004D4B43"/>
    <w:rsid w:val="004D5ED8"/>
    <w:rsid w:val="004D7FB5"/>
    <w:rsid w:val="004E0DEE"/>
    <w:rsid w:val="004E183C"/>
    <w:rsid w:val="004E6449"/>
    <w:rsid w:val="004E6EC0"/>
    <w:rsid w:val="004F29B3"/>
    <w:rsid w:val="004F3CC5"/>
    <w:rsid w:val="00501BF7"/>
    <w:rsid w:val="005029A3"/>
    <w:rsid w:val="00502FEC"/>
    <w:rsid w:val="00505EA8"/>
    <w:rsid w:val="00510694"/>
    <w:rsid w:val="00511041"/>
    <w:rsid w:val="00512050"/>
    <w:rsid w:val="005121DB"/>
    <w:rsid w:val="005131AD"/>
    <w:rsid w:val="00513246"/>
    <w:rsid w:val="00513411"/>
    <w:rsid w:val="00513FAA"/>
    <w:rsid w:val="00517025"/>
    <w:rsid w:val="00521915"/>
    <w:rsid w:val="00521A50"/>
    <w:rsid w:val="00522627"/>
    <w:rsid w:val="0052272A"/>
    <w:rsid w:val="0052427F"/>
    <w:rsid w:val="00524C3E"/>
    <w:rsid w:val="0052501A"/>
    <w:rsid w:val="00526002"/>
    <w:rsid w:val="005264C6"/>
    <w:rsid w:val="005327AE"/>
    <w:rsid w:val="0053578A"/>
    <w:rsid w:val="00536D5A"/>
    <w:rsid w:val="00543EB7"/>
    <w:rsid w:val="005458BF"/>
    <w:rsid w:val="0054645F"/>
    <w:rsid w:val="00550A57"/>
    <w:rsid w:val="0055152F"/>
    <w:rsid w:val="0055208A"/>
    <w:rsid w:val="0055247E"/>
    <w:rsid w:val="0055289A"/>
    <w:rsid w:val="00552AF2"/>
    <w:rsid w:val="00557A25"/>
    <w:rsid w:val="00562276"/>
    <w:rsid w:val="00563AF4"/>
    <w:rsid w:val="00563B3A"/>
    <w:rsid w:val="00564893"/>
    <w:rsid w:val="005664FA"/>
    <w:rsid w:val="005665FC"/>
    <w:rsid w:val="0057280F"/>
    <w:rsid w:val="00573B99"/>
    <w:rsid w:val="005746AC"/>
    <w:rsid w:val="00574DAF"/>
    <w:rsid w:val="00575E5B"/>
    <w:rsid w:val="0058086B"/>
    <w:rsid w:val="005829D2"/>
    <w:rsid w:val="00586D3B"/>
    <w:rsid w:val="00587076"/>
    <w:rsid w:val="00591BE7"/>
    <w:rsid w:val="0059396D"/>
    <w:rsid w:val="00596300"/>
    <w:rsid w:val="00596D66"/>
    <w:rsid w:val="005A084E"/>
    <w:rsid w:val="005A148D"/>
    <w:rsid w:val="005A1550"/>
    <w:rsid w:val="005A3A48"/>
    <w:rsid w:val="005A3D1F"/>
    <w:rsid w:val="005A5F1E"/>
    <w:rsid w:val="005B0D42"/>
    <w:rsid w:val="005B1AE9"/>
    <w:rsid w:val="005B532F"/>
    <w:rsid w:val="005B5522"/>
    <w:rsid w:val="005B570B"/>
    <w:rsid w:val="005B5DD1"/>
    <w:rsid w:val="005B6E35"/>
    <w:rsid w:val="005C1442"/>
    <w:rsid w:val="005C14A0"/>
    <w:rsid w:val="005D04C7"/>
    <w:rsid w:val="005D2CCF"/>
    <w:rsid w:val="005D651E"/>
    <w:rsid w:val="005E3276"/>
    <w:rsid w:val="005E3939"/>
    <w:rsid w:val="005E3EE3"/>
    <w:rsid w:val="005E4CD3"/>
    <w:rsid w:val="005F39F1"/>
    <w:rsid w:val="005F40B8"/>
    <w:rsid w:val="005F4546"/>
    <w:rsid w:val="005F4AE8"/>
    <w:rsid w:val="005F684D"/>
    <w:rsid w:val="005F6B4B"/>
    <w:rsid w:val="005F7592"/>
    <w:rsid w:val="0060145F"/>
    <w:rsid w:val="00601F55"/>
    <w:rsid w:val="00604267"/>
    <w:rsid w:val="0060474D"/>
    <w:rsid w:val="006047C1"/>
    <w:rsid w:val="00605F4F"/>
    <w:rsid w:val="006060EE"/>
    <w:rsid w:val="0060662C"/>
    <w:rsid w:val="006068FD"/>
    <w:rsid w:val="00610F8B"/>
    <w:rsid w:val="006144AF"/>
    <w:rsid w:val="00624969"/>
    <w:rsid w:val="00626CE5"/>
    <w:rsid w:val="006300B9"/>
    <w:rsid w:val="006316A2"/>
    <w:rsid w:val="00632B31"/>
    <w:rsid w:val="00633C69"/>
    <w:rsid w:val="00634EF2"/>
    <w:rsid w:val="00636B7A"/>
    <w:rsid w:val="00640B69"/>
    <w:rsid w:val="00640C7C"/>
    <w:rsid w:val="0064252E"/>
    <w:rsid w:val="00643228"/>
    <w:rsid w:val="0064399A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639EA"/>
    <w:rsid w:val="0066618F"/>
    <w:rsid w:val="00666CD3"/>
    <w:rsid w:val="006711BC"/>
    <w:rsid w:val="00671BD9"/>
    <w:rsid w:val="00673E99"/>
    <w:rsid w:val="00681B47"/>
    <w:rsid w:val="006825E9"/>
    <w:rsid w:val="006834DE"/>
    <w:rsid w:val="00693F52"/>
    <w:rsid w:val="00697830"/>
    <w:rsid w:val="006A1095"/>
    <w:rsid w:val="006A12AF"/>
    <w:rsid w:val="006A23F8"/>
    <w:rsid w:val="006A2C83"/>
    <w:rsid w:val="006A3544"/>
    <w:rsid w:val="006A44A2"/>
    <w:rsid w:val="006A6661"/>
    <w:rsid w:val="006B6211"/>
    <w:rsid w:val="006B7A3A"/>
    <w:rsid w:val="006C0767"/>
    <w:rsid w:val="006C17EC"/>
    <w:rsid w:val="006C29EB"/>
    <w:rsid w:val="006C5190"/>
    <w:rsid w:val="006C67E3"/>
    <w:rsid w:val="006C6D7B"/>
    <w:rsid w:val="006D102F"/>
    <w:rsid w:val="006D1D81"/>
    <w:rsid w:val="006D6CB6"/>
    <w:rsid w:val="006F01DC"/>
    <w:rsid w:val="006F072D"/>
    <w:rsid w:val="006F0F32"/>
    <w:rsid w:val="006F20E0"/>
    <w:rsid w:val="006F2B01"/>
    <w:rsid w:val="006F4ACA"/>
    <w:rsid w:val="006F4CEC"/>
    <w:rsid w:val="00703453"/>
    <w:rsid w:val="007060C7"/>
    <w:rsid w:val="00706BA1"/>
    <w:rsid w:val="00711CE0"/>
    <w:rsid w:val="00712EB2"/>
    <w:rsid w:val="007138A9"/>
    <w:rsid w:val="0071514E"/>
    <w:rsid w:val="00715A2E"/>
    <w:rsid w:val="00716479"/>
    <w:rsid w:val="007174C2"/>
    <w:rsid w:val="00717D70"/>
    <w:rsid w:val="00724760"/>
    <w:rsid w:val="00724CCD"/>
    <w:rsid w:val="00725F7E"/>
    <w:rsid w:val="007260BA"/>
    <w:rsid w:val="00727226"/>
    <w:rsid w:val="00730CB6"/>
    <w:rsid w:val="007334D9"/>
    <w:rsid w:val="00734463"/>
    <w:rsid w:val="00734B1B"/>
    <w:rsid w:val="007357DE"/>
    <w:rsid w:val="00736738"/>
    <w:rsid w:val="0074021F"/>
    <w:rsid w:val="007446F1"/>
    <w:rsid w:val="00746358"/>
    <w:rsid w:val="00746483"/>
    <w:rsid w:val="007467B6"/>
    <w:rsid w:val="00746BC3"/>
    <w:rsid w:val="00747CED"/>
    <w:rsid w:val="007510EF"/>
    <w:rsid w:val="0075186C"/>
    <w:rsid w:val="00754E08"/>
    <w:rsid w:val="00757E3B"/>
    <w:rsid w:val="00757EC8"/>
    <w:rsid w:val="007605A2"/>
    <w:rsid w:val="007609FB"/>
    <w:rsid w:val="007667F6"/>
    <w:rsid w:val="00766BA9"/>
    <w:rsid w:val="00767ACB"/>
    <w:rsid w:val="00767C66"/>
    <w:rsid w:val="00775EB8"/>
    <w:rsid w:val="00777C6A"/>
    <w:rsid w:val="00782796"/>
    <w:rsid w:val="007859F4"/>
    <w:rsid w:val="00785FD8"/>
    <w:rsid w:val="007860FD"/>
    <w:rsid w:val="007872F0"/>
    <w:rsid w:val="007876EA"/>
    <w:rsid w:val="00790148"/>
    <w:rsid w:val="007902B0"/>
    <w:rsid w:val="007926FC"/>
    <w:rsid w:val="007A19F5"/>
    <w:rsid w:val="007A475B"/>
    <w:rsid w:val="007A778C"/>
    <w:rsid w:val="007A7F32"/>
    <w:rsid w:val="007B42C2"/>
    <w:rsid w:val="007B6DAE"/>
    <w:rsid w:val="007B71AB"/>
    <w:rsid w:val="007C0CCF"/>
    <w:rsid w:val="007C2674"/>
    <w:rsid w:val="007C2A04"/>
    <w:rsid w:val="007C3806"/>
    <w:rsid w:val="007C4C4C"/>
    <w:rsid w:val="007C513A"/>
    <w:rsid w:val="007C59F7"/>
    <w:rsid w:val="007C6047"/>
    <w:rsid w:val="007D2530"/>
    <w:rsid w:val="007D2AB1"/>
    <w:rsid w:val="007D6C16"/>
    <w:rsid w:val="007E0547"/>
    <w:rsid w:val="007E2E79"/>
    <w:rsid w:val="007E58C8"/>
    <w:rsid w:val="007E69DD"/>
    <w:rsid w:val="007E6CB8"/>
    <w:rsid w:val="007E6E4D"/>
    <w:rsid w:val="007F228D"/>
    <w:rsid w:val="007F23D7"/>
    <w:rsid w:val="007F3DA1"/>
    <w:rsid w:val="007F5B70"/>
    <w:rsid w:val="007F6526"/>
    <w:rsid w:val="008014DB"/>
    <w:rsid w:val="00801E04"/>
    <w:rsid w:val="008036B2"/>
    <w:rsid w:val="00807E1B"/>
    <w:rsid w:val="00810832"/>
    <w:rsid w:val="008120F7"/>
    <w:rsid w:val="00813F50"/>
    <w:rsid w:val="0081561C"/>
    <w:rsid w:val="0081627F"/>
    <w:rsid w:val="0082132B"/>
    <w:rsid w:val="008240D0"/>
    <w:rsid w:val="00824CAA"/>
    <w:rsid w:val="008252CC"/>
    <w:rsid w:val="00826A77"/>
    <w:rsid w:val="0083062F"/>
    <w:rsid w:val="00830AF2"/>
    <w:rsid w:val="00831A20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4CA"/>
    <w:rsid w:val="00854392"/>
    <w:rsid w:val="008545B2"/>
    <w:rsid w:val="00856D38"/>
    <w:rsid w:val="008571C1"/>
    <w:rsid w:val="00857565"/>
    <w:rsid w:val="0086001D"/>
    <w:rsid w:val="00860D5D"/>
    <w:rsid w:val="00860F2F"/>
    <w:rsid w:val="008613DD"/>
    <w:rsid w:val="00863C44"/>
    <w:rsid w:val="008649A4"/>
    <w:rsid w:val="00864C58"/>
    <w:rsid w:val="00865048"/>
    <w:rsid w:val="00865AEF"/>
    <w:rsid w:val="00865BEA"/>
    <w:rsid w:val="00867968"/>
    <w:rsid w:val="0087073B"/>
    <w:rsid w:val="00870998"/>
    <w:rsid w:val="008710D4"/>
    <w:rsid w:val="00872DEA"/>
    <w:rsid w:val="00874FBA"/>
    <w:rsid w:val="008754C9"/>
    <w:rsid w:val="00875A1E"/>
    <w:rsid w:val="00875C91"/>
    <w:rsid w:val="00877418"/>
    <w:rsid w:val="0088222E"/>
    <w:rsid w:val="00882B45"/>
    <w:rsid w:val="00883E33"/>
    <w:rsid w:val="0088421D"/>
    <w:rsid w:val="00886694"/>
    <w:rsid w:val="008867A1"/>
    <w:rsid w:val="008869A0"/>
    <w:rsid w:val="008905FB"/>
    <w:rsid w:val="008911B8"/>
    <w:rsid w:val="00891CCE"/>
    <w:rsid w:val="008939FA"/>
    <w:rsid w:val="008A0E6C"/>
    <w:rsid w:val="008A1327"/>
    <w:rsid w:val="008A2228"/>
    <w:rsid w:val="008A2D65"/>
    <w:rsid w:val="008A3CEF"/>
    <w:rsid w:val="008A5748"/>
    <w:rsid w:val="008A642B"/>
    <w:rsid w:val="008A72B0"/>
    <w:rsid w:val="008A7439"/>
    <w:rsid w:val="008A7B15"/>
    <w:rsid w:val="008A7CF9"/>
    <w:rsid w:val="008B0817"/>
    <w:rsid w:val="008B202C"/>
    <w:rsid w:val="008B48D8"/>
    <w:rsid w:val="008B4D85"/>
    <w:rsid w:val="008B4E9D"/>
    <w:rsid w:val="008B700B"/>
    <w:rsid w:val="008B7596"/>
    <w:rsid w:val="008C0947"/>
    <w:rsid w:val="008C0975"/>
    <w:rsid w:val="008C3867"/>
    <w:rsid w:val="008C3942"/>
    <w:rsid w:val="008C7B7B"/>
    <w:rsid w:val="008D0457"/>
    <w:rsid w:val="008D1521"/>
    <w:rsid w:val="008D3438"/>
    <w:rsid w:val="008D6476"/>
    <w:rsid w:val="008E159A"/>
    <w:rsid w:val="008E5644"/>
    <w:rsid w:val="008E6C50"/>
    <w:rsid w:val="008F2C0F"/>
    <w:rsid w:val="008F56C7"/>
    <w:rsid w:val="008F60D0"/>
    <w:rsid w:val="008F694F"/>
    <w:rsid w:val="008F7055"/>
    <w:rsid w:val="0090036C"/>
    <w:rsid w:val="009030DA"/>
    <w:rsid w:val="00912AC8"/>
    <w:rsid w:val="009143E9"/>
    <w:rsid w:val="00916915"/>
    <w:rsid w:val="00916B05"/>
    <w:rsid w:val="0092160E"/>
    <w:rsid w:val="00923D4E"/>
    <w:rsid w:val="009265E9"/>
    <w:rsid w:val="00930390"/>
    <w:rsid w:val="00932BB8"/>
    <w:rsid w:val="009352D9"/>
    <w:rsid w:val="009367B5"/>
    <w:rsid w:val="00936B77"/>
    <w:rsid w:val="00942151"/>
    <w:rsid w:val="00942CE1"/>
    <w:rsid w:val="00942E10"/>
    <w:rsid w:val="00944477"/>
    <w:rsid w:val="0094497C"/>
    <w:rsid w:val="00945323"/>
    <w:rsid w:val="00945841"/>
    <w:rsid w:val="00947137"/>
    <w:rsid w:val="0095176F"/>
    <w:rsid w:val="00952565"/>
    <w:rsid w:val="009539A3"/>
    <w:rsid w:val="00954C8B"/>
    <w:rsid w:val="00956775"/>
    <w:rsid w:val="00956FDE"/>
    <w:rsid w:val="0096252B"/>
    <w:rsid w:val="00963EAF"/>
    <w:rsid w:val="00965AC7"/>
    <w:rsid w:val="00965C6F"/>
    <w:rsid w:val="00967C29"/>
    <w:rsid w:val="009713CA"/>
    <w:rsid w:val="009714A4"/>
    <w:rsid w:val="0097192F"/>
    <w:rsid w:val="00971C69"/>
    <w:rsid w:val="00971E1F"/>
    <w:rsid w:val="0097288C"/>
    <w:rsid w:val="00973170"/>
    <w:rsid w:val="00976B9B"/>
    <w:rsid w:val="009859B0"/>
    <w:rsid w:val="00986EB6"/>
    <w:rsid w:val="00987CE0"/>
    <w:rsid w:val="009A2157"/>
    <w:rsid w:val="009A2CA6"/>
    <w:rsid w:val="009A301E"/>
    <w:rsid w:val="009A395B"/>
    <w:rsid w:val="009A3B3A"/>
    <w:rsid w:val="009B16CA"/>
    <w:rsid w:val="009B28A5"/>
    <w:rsid w:val="009C2E0F"/>
    <w:rsid w:val="009C2FD3"/>
    <w:rsid w:val="009C4A77"/>
    <w:rsid w:val="009C749F"/>
    <w:rsid w:val="009C758E"/>
    <w:rsid w:val="009D037A"/>
    <w:rsid w:val="009D26AA"/>
    <w:rsid w:val="009D6600"/>
    <w:rsid w:val="009E211D"/>
    <w:rsid w:val="009E283D"/>
    <w:rsid w:val="009E29A7"/>
    <w:rsid w:val="009E7F77"/>
    <w:rsid w:val="009F2880"/>
    <w:rsid w:val="009F3591"/>
    <w:rsid w:val="009F37A2"/>
    <w:rsid w:val="009F783C"/>
    <w:rsid w:val="00A02C95"/>
    <w:rsid w:val="00A03137"/>
    <w:rsid w:val="00A0341E"/>
    <w:rsid w:val="00A04517"/>
    <w:rsid w:val="00A0535C"/>
    <w:rsid w:val="00A05678"/>
    <w:rsid w:val="00A058AE"/>
    <w:rsid w:val="00A0715A"/>
    <w:rsid w:val="00A1289F"/>
    <w:rsid w:val="00A14ECE"/>
    <w:rsid w:val="00A158B0"/>
    <w:rsid w:val="00A16F98"/>
    <w:rsid w:val="00A20B84"/>
    <w:rsid w:val="00A20E68"/>
    <w:rsid w:val="00A2109F"/>
    <w:rsid w:val="00A2118B"/>
    <w:rsid w:val="00A21575"/>
    <w:rsid w:val="00A238E4"/>
    <w:rsid w:val="00A259E4"/>
    <w:rsid w:val="00A30087"/>
    <w:rsid w:val="00A31726"/>
    <w:rsid w:val="00A330FE"/>
    <w:rsid w:val="00A35E10"/>
    <w:rsid w:val="00A4003F"/>
    <w:rsid w:val="00A4087F"/>
    <w:rsid w:val="00A40CE3"/>
    <w:rsid w:val="00A429D1"/>
    <w:rsid w:val="00A435D8"/>
    <w:rsid w:val="00A44F07"/>
    <w:rsid w:val="00A4666F"/>
    <w:rsid w:val="00A46711"/>
    <w:rsid w:val="00A567D3"/>
    <w:rsid w:val="00A5729B"/>
    <w:rsid w:val="00A576CD"/>
    <w:rsid w:val="00A57BEA"/>
    <w:rsid w:val="00A64809"/>
    <w:rsid w:val="00A65437"/>
    <w:rsid w:val="00A66F4C"/>
    <w:rsid w:val="00A67A05"/>
    <w:rsid w:val="00A730C2"/>
    <w:rsid w:val="00A73447"/>
    <w:rsid w:val="00A73800"/>
    <w:rsid w:val="00A75005"/>
    <w:rsid w:val="00A754F1"/>
    <w:rsid w:val="00A76429"/>
    <w:rsid w:val="00A76D0D"/>
    <w:rsid w:val="00A76DBD"/>
    <w:rsid w:val="00A835F6"/>
    <w:rsid w:val="00A84C0E"/>
    <w:rsid w:val="00A872C5"/>
    <w:rsid w:val="00A919ED"/>
    <w:rsid w:val="00A92DFC"/>
    <w:rsid w:val="00A93C8C"/>
    <w:rsid w:val="00A95A19"/>
    <w:rsid w:val="00AA1947"/>
    <w:rsid w:val="00AA1CBD"/>
    <w:rsid w:val="00AA3675"/>
    <w:rsid w:val="00AA400A"/>
    <w:rsid w:val="00AA434C"/>
    <w:rsid w:val="00AA5081"/>
    <w:rsid w:val="00AA5274"/>
    <w:rsid w:val="00AA6886"/>
    <w:rsid w:val="00AA7BD8"/>
    <w:rsid w:val="00AB0BB6"/>
    <w:rsid w:val="00AB324B"/>
    <w:rsid w:val="00AC09F0"/>
    <w:rsid w:val="00AC36D6"/>
    <w:rsid w:val="00AC3775"/>
    <w:rsid w:val="00AC4D0C"/>
    <w:rsid w:val="00AD2E87"/>
    <w:rsid w:val="00AE04FA"/>
    <w:rsid w:val="00AE1D85"/>
    <w:rsid w:val="00AE2961"/>
    <w:rsid w:val="00AF46EC"/>
    <w:rsid w:val="00B0040E"/>
    <w:rsid w:val="00B01906"/>
    <w:rsid w:val="00B04297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0D3A"/>
    <w:rsid w:val="00B21589"/>
    <w:rsid w:val="00B218AB"/>
    <w:rsid w:val="00B22E27"/>
    <w:rsid w:val="00B23A41"/>
    <w:rsid w:val="00B24A8E"/>
    <w:rsid w:val="00B26214"/>
    <w:rsid w:val="00B26D6F"/>
    <w:rsid w:val="00B27BB5"/>
    <w:rsid w:val="00B30D1B"/>
    <w:rsid w:val="00B310AF"/>
    <w:rsid w:val="00B32A3F"/>
    <w:rsid w:val="00B330CA"/>
    <w:rsid w:val="00B33B0E"/>
    <w:rsid w:val="00B34939"/>
    <w:rsid w:val="00B35A92"/>
    <w:rsid w:val="00B36E5D"/>
    <w:rsid w:val="00B379C2"/>
    <w:rsid w:val="00B415D1"/>
    <w:rsid w:val="00B42A40"/>
    <w:rsid w:val="00B45CAE"/>
    <w:rsid w:val="00B47837"/>
    <w:rsid w:val="00B47D8D"/>
    <w:rsid w:val="00B51EE3"/>
    <w:rsid w:val="00B53643"/>
    <w:rsid w:val="00B53986"/>
    <w:rsid w:val="00B55271"/>
    <w:rsid w:val="00B55491"/>
    <w:rsid w:val="00B5564F"/>
    <w:rsid w:val="00B60774"/>
    <w:rsid w:val="00B62434"/>
    <w:rsid w:val="00B66871"/>
    <w:rsid w:val="00B67284"/>
    <w:rsid w:val="00B673F3"/>
    <w:rsid w:val="00B70394"/>
    <w:rsid w:val="00B73316"/>
    <w:rsid w:val="00B733B4"/>
    <w:rsid w:val="00B735AF"/>
    <w:rsid w:val="00B74E5E"/>
    <w:rsid w:val="00B77D43"/>
    <w:rsid w:val="00B81A26"/>
    <w:rsid w:val="00B81A5D"/>
    <w:rsid w:val="00B82C17"/>
    <w:rsid w:val="00B84A37"/>
    <w:rsid w:val="00B86F66"/>
    <w:rsid w:val="00B91CF9"/>
    <w:rsid w:val="00B93E07"/>
    <w:rsid w:val="00B95D63"/>
    <w:rsid w:val="00BA0A88"/>
    <w:rsid w:val="00BA181F"/>
    <w:rsid w:val="00BA196B"/>
    <w:rsid w:val="00BA3E68"/>
    <w:rsid w:val="00BA725C"/>
    <w:rsid w:val="00BA769F"/>
    <w:rsid w:val="00BB2885"/>
    <w:rsid w:val="00BB3659"/>
    <w:rsid w:val="00BB6ED5"/>
    <w:rsid w:val="00BB7E99"/>
    <w:rsid w:val="00BC2173"/>
    <w:rsid w:val="00BC40F6"/>
    <w:rsid w:val="00BD606A"/>
    <w:rsid w:val="00BD687F"/>
    <w:rsid w:val="00BD6A4B"/>
    <w:rsid w:val="00BD71F5"/>
    <w:rsid w:val="00BD7F4B"/>
    <w:rsid w:val="00BE0D39"/>
    <w:rsid w:val="00BE12B3"/>
    <w:rsid w:val="00BE46EE"/>
    <w:rsid w:val="00BE4D69"/>
    <w:rsid w:val="00BF1E0B"/>
    <w:rsid w:val="00BF2201"/>
    <w:rsid w:val="00BF2BD2"/>
    <w:rsid w:val="00BF6AF6"/>
    <w:rsid w:val="00BF77B4"/>
    <w:rsid w:val="00C00A9C"/>
    <w:rsid w:val="00C0435F"/>
    <w:rsid w:val="00C048C2"/>
    <w:rsid w:val="00C04BC8"/>
    <w:rsid w:val="00C050D7"/>
    <w:rsid w:val="00C05A12"/>
    <w:rsid w:val="00C05D6E"/>
    <w:rsid w:val="00C07E61"/>
    <w:rsid w:val="00C1001D"/>
    <w:rsid w:val="00C114FF"/>
    <w:rsid w:val="00C15032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1CB9"/>
    <w:rsid w:val="00C435D1"/>
    <w:rsid w:val="00C44CFD"/>
    <w:rsid w:val="00C47D75"/>
    <w:rsid w:val="00C47FA7"/>
    <w:rsid w:val="00C50AF3"/>
    <w:rsid w:val="00C50BD8"/>
    <w:rsid w:val="00C510F4"/>
    <w:rsid w:val="00C5340F"/>
    <w:rsid w:val="00C55873"/>
    <w:rsid w:val="00C56D44"/>
    <w:rsid w:val="00C6572C"/>
    <w:rsid w:val="00C664F3"/>
    <w:rsid w:val="00C66C5F"/>
    <w:rsid w:val="00C705E5"/>
    <w:rsid w:val="00C71414"/>
    <w:rsid w:val="00C71B48"/>
    <w:rsid w:val="00C74107"/>
    <w:rsid w:val="00C77F67"/>
    <w:rsid w:val="00C80785"/>
    <w:rsid w:val="00C837B4"/>
    <w:rsid w:val="00C83C71"/>
    <w:rsid w:val="00C903DF"/>
    <w:rsid w:val="00C934CC"/>
    <w:rsid w:val="00C93F99"/>
    <w:rsid w:val="00C96D5F"/>
    <w:rsid w:val="00C97EF2"/>
    <w:rsid w:val="00CA0784"/>
    <w:rsid w:val="00CA1368"/>
    <w:rsid w:val="00CA177F"/>
    <w:rsid w:val="00CA260B"/>
    <w:rsid w:val="00CA5600"/>
    <w:rsid w:val="00CA5643"/>
    <w:rsid w:val="00CA571D"/>
    <w:rsid w:val="00CB0A81"/>
    <w:rsid w:val="00CB1E77"/>
    <w:rsid w:val="00CB286C"/>
    <w:rsid w:val="00CB5A8D"/>
    <w:rsid w:val="00CB5AB7"/>
    <w:rsid w:val="00CB5AE8"/>
    <w:rsid w:val="00CC0535"/>
    <w:rsid w:val="00CC11D1"/>
    <w:rsid w:val="00CC3A96"/>
    <w:rsid w:val="00CC4297"/>
    <w:rsid w:val="00CC4E35"/>
    <w:rsid w:val="00CC6287"/>
    <w:rsid w:val="00CC6A7E"/>
    <w:rsid w:val="00CC7207"/>
    <w:rsid w:val="00CD219B"/>
    <w:rsid w:val="00CD5614"/>
    <w:rsid w:val="00CD77C7"/>
    <w:rsid w:val="00CE0C50"/>
    <w:rsid w:val="00CE1066"/>
    <w:rsid w:val="00CE15BD"/>
    <w:rsid w:val="00CE1C7A"/>
    <w:rsid w:val="00CE234D"/>
    <w:rsid w:val="00CE548C"/>
    <w:rsid w:val="00CF0102"/>
    <w:rsid w:val="00CF35E6"/>
    <w:rsid w:val="00CF508D"/>
    <w:rsid w:val="00CF7307"/>
    <w:rsid w:val="00D014C1"/>
    <w:rsid w:val="00D0391F"/>
    <w:rsid w:val="00D03A6E"/>
    <w:rsid w:val="00D11F9C"/>
    <w:rsid w:val="00D12766"/>
    <w:rsid w:val="00D14B1B"/>
    <w:rsid w:val="00D16685"/>
    <w:rsid w:val="00D16C2A"/>
    <w:rsid w:val="00D209C3"/>
    <w:rsid w:val="00D20EBD"/>
    <w:rsid w:val="00D211A7"/>
    <w:rsid w:val="00D23732"/>
    <w:rsid w:val="00D24269"/>
    <w:rsid w:val="00D30065"/>
    <w:rsid w:val="00D3165D"/>
    <w:rsid w:val="00D3512B"/>
    <w:rsid w:val="00D35C22"/>
    <w:rsid w:val="00D35D0A"/>
    <w:rsid w:val="00D406F6"/>
    <w:rsid w:val="00D41A37"/>
    <w:rsid w:val="00D41F72"/>
    <w:rsid w:val="00D430C4"/>
    <w:rsid w:val="00D439F9"/>
    <w:rsid w:val="00D44492"/>
    <w:rsid w:val="00D47F70"/>
    <w:rsid w:val="00D51433"/>
    <w:rsid w:val="00D53953"/>
    <w:rsid w:val="00D54766"/>
    <w:rsid w:val="00D55831"/>
    <w:rsid w:val="00D56E13"/>
    <w:rsid w:val="00D62670"/>
    <w:rsid w:val="00D64C2B"/>
    <w:rsid w:val="00D713F9"/>
    <w:rsid w:val="00D71BAE"/>
    <w:rsid w:val="00D7385D"/>
    <w:rsid w:val="00D73CB8"/>
    <w:rsid w:val="00D749F3"/>
    <w:rsid w:val="00D75BD0"/>
    <w:rsid w:val="00D7626D"/>
    <w:rsid w:val="00D77ECB"/>
    <w:rsid w:val="00D8089C"/>
    <w:rsid w:val="00D81EF1"/>
    <w:rsid w:val="00D84B2B"/>
    <w:rsid w:val="00D85D9B"/>
    <w:rsid w:val="00D875E3"/>
    <w:rsid w:val="00D92C8D"/>
    <w:rsid w:val="00D92D9C"/>
    <w:rsid w:val="00D952EF"/>
    <w:rsid w:val="00D974DC"/>
    <w:rsid w:val="00DA2326"/>
    <w:rsid w:val="00DA2B70"/>
    <w:rsid w:val="00DA2F8B"/>
    <w:rsid w:val="00DA61B2"/>
    <w:rsid w:val="00DA64DB"/>
    <w:rsid w:val="00DA68A6"/>
    <w:rsid w:val="00DB046D"/>
    <w:rsid w:val="00DB1665"/>
    <w:rsid w:val="00DB1BE4"/>
    <w:rsid w:val="00DB2D6E"/>
    <w:rsid w:val="00DB6161"/>
    <w:rsid w:val="00DC29A4"/>
    <w:rsid w:val="00DC402E"/>
    <w:rsid w:val="00DC45C4"/>
    <w:rsid w:val="00DC6E07"/>
    <w:rsid w:val="00DD0630"/>
    <w:rsid w:val="00DE0897"/>
    <w:rsid w:val="00DE1D7B"/>
    <w:rsid w:val="00DE552E"/>
    <w:rsid w:val="00DE66A1"/>
    <w:rsid w:val="00DF2211"/>
    <w:rsid w:val="00DF35EB"/>
    <w:rsid w:val="00DF39C1"/>
    <w:rsid w:val="00DF3E81"/>
    <w:rsid w:val="00DF46A9"/>
    <w:rsid w:val="00DF59A7"/>
    <w:rsid w:val="00DF6300"/>
    <w:rsid w:val="00DF6A6C"/>
    <w:rsid w:val="00E00760"/>
    <w:rsid w:val="00E01417"/>
    <w:rsid w:val="00E015B7"/>
    <w:rsid w:val="00E03701"/>
    <w:rsid w:val="00E03B91"/>
    <w:rsid w:val="00E04963"/>
    <w:rsid w:val="00E05A57"/>
    <w:rsid w:val="00E05C2C"/>
    <w:rsid w:val="00E0788D"/>
    <w:rsid w:val="00E10F85"/>
    <w:rsid w:val="00E122AA"/>
    <w:rsid w:val="00E12C92"/>
    <w:rsid w:val="00E13214"/>
    <w:rsid w:val="00E1641B"/>
    <w:rsid w:val="00E17403"/>
    <w:rsid w:val="00E250FB"/>
    <w:rsid w:val="00E2573B"/>
    <w:rsid w:val="00E26273"/>
    <w:rsid w:val="00E264D1"/>
    <w:rsid w:val="00E315ED"/>
    <w:rsid w:val="00E321C5"/>
    <w:rsid w:val="00E35C15"/>
    <w:rsid w:val="00E37F00"/>
    <w:rsid w:val="00E425D0"/>
    <w:rsid w:val="00E436C0"/>
    <w:rsid w:val="00E43FA2"/>
    <w:rsid w:val="00E44BC2"/>
    <w:rsid w:val="00E4586E"/>
    <w:rsid w:val="00E45902"/>
    <w:rsid w:val="00E45FBA"/>
    <w:rsid w:val="00E5094F"/>
    <w:rsid w:val="00E50E19"/>
    <w:rsid w:val="00E51006"/>
    <w:rsid w:val="00E511CD"/>
    <w:rsid w:val="00E51382"/>
    <w:rsid w:val="00E54DFB"/>
    <w:rsid w:val="00E54E78"/>
    <w:rsid w:val="00E5570C"/>
    <w:rsid w:val="00E60C58"/>
    <w:rsid w:val="00E6148F"/>
    <w:rsid w:val="00E63700"/>
    <w:rsid w:val="00E63F77"/>
    <w:rsid w:val="00E63F9D"/>
    <w:rsid w:val="00E672FF"/>
    <w:rsid w:val="00E67C9C"/>
    <w:rsid w:val="00E70121"/>
    <w:rsid w:val="00E70718"/>
    <w:rsid w:val="00E71C05"/>
    <w:rsid w:val="00E7260E"/>
    <w:rsid w:val="00E726A2"/>
    <w:rsid w:val="00E73885"/>
    <w:rsid w:val="00E755C5"/>
    <w:rsid w:val="00E758F2"/>
    <w:rsid w:val="00E77A00"/>
    <w:rsid w:val="00E80B66"/>
    <w:rsid w:val="00E81484"/>
    <w:rsid w:val="00E81E42"/>
    <w:rsid w:val="00E82F58"/>
    <w:rsid w:val="00E83030"/>
    <w:rsid w:val="00E84159"/>
    <w:rsid w:val="00E84536"/>
    <w:rsid w:val="00E8463A"/>
    <w:rsid w:val="00E84993"/>
    <w:rsid w:val="00E85116"/>
    <w:rsid w:val="00E8513E"/>
    <w:rsid w:val="00E876AE"/>
    <w:rsid w:val="00E907F5"/>
    <w:rsid w:val="00E912CA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A7EBA"/>
    <w:rsid w:val="00EB6600"/>
    <w:rsid w:val="00EB6D8D"/>
    <w:rsid w:val="00EB74B6"/>
    <w:rsid w:val="00EC1B42"/>
    <w:rsid w:val="00EC1C4F"/>
    <w:rsid w:val="00EC5DA2"/>
    <w:rsid w:val="00ED12BE"/>
    <w:rsid w:val="00ED32F0"/>
    <w:rsid w:val="00ED3E9F"/>
    <w:rsid w:val="00ED5484"/>
    <w:rsid w:val="00ED6952"/>
    <w:rsid w:val="00ED7C33"/>
    <w:rsid w:val="00ED7F7F"/>
    <w:rsid w:val="00EE03FB"/>
    <w:rsid w:val="00EE0A96"/>
    <w:rsid w:val="00EE3111"/>
    <w:rsid w:val="00EE3B82"/>
    <w:rsid w:val="00EE5A4A"/>
    <w:rsid w:val="00EF28ED"/>
    <w:rsid w:val="00EF46C4"/>
    <w:rsid w:val="00EF6C7D"/>
    <w:rsid w:val="00EF7A58"/>
    <w:rsid w:val="00F00C1D"/>
    <w:rsid w:val="00F011C7"/>
    <w:rsid w:val="00F06866"/>
    <w:rsid w:val="00F102C6"/>
    <w:rsid w:val="00F103B9"/>
    <w:rsid w:val="00F1175D"/>
    <w:rsid w:val="00F14AA7"/>
    <w:rsid w:val="00F14AAF"/>
    <w:rsid w:val="00F1596F"/>
    <w:rsid w:val="00F15DDF"/>
    <w:rsid w:val="00F21893"/>
    <w:rsid w:val="00F24209"/>
    <w:rsid w:val="00F345CD"/>
    <w:rsid w:val="00F34EE0"/>
    <w:rsid w:val="00F352C6"/>
    <w:rsid w:val="00F3563E"/>
    <w:rsid w:val="00F375E0"/>
    <w:rsid w:val="00F37968"/>
    <w:rsid w:val="00F40201"/>
    <w:rsid w:val="00F42950"/>
    <w:rsid w:val="00F43666"/>
    <w:rsid w:val="00F43AC1"/>
    <w:rsid w:val="00F47D18"/>
    <w:rsid w:val="00F57C0B"/>
    <w:rsid w:val="00F61389"/>
    <w:rsid w:val="00F61557"/>
    <w:rsid w:val="00F61F7D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A1E52"/>
    <w:rsid w:val="00FA3FA6"/>
    <w:rsid w:val="00FA538A"/>
    <w:rsid w:val="00FA5A44"/>
    <w:rsid w:val="00FA654F"/>
    <w:rsid w:val="00FB1CE6"/>
    <w:rsid w:val="00FB23E0"/>
    <w:rsid w:val="00FC00AE"/>
    <w:rsid w:val="00FC14F7"/>
    <w:rsid w:val="00FC2ACF"/>
    <w:rsid w:val="00FC5785"/>
    <w:rsid w:val="00FD26A2"/>
    <w:rsid w:val="00FD440E"/>
    <w:rsid w:val="00FD4822"/>
    <w:rsid w:val="00FD5450"/>
    <w:rsid w:val="00FD77C5"/>
    <w:rsid w:val="00FE0D41"/>
    <w:rsid w:val="00FE6B72"/>
    <w:rsid w:val="00FE723D"/>
    <w:rsid w:val="00FF0A66"/>
    <w:rsid w:val="00FF13DA"/>
    <w:rsid w:val="00FF201C"/>
    <w:rsid w:val="00FF2BD9"/>
    <w:rsid w:val="00FF35B1"/>
    <w:rsid w:val="00FF5C4A"/>
    <w:rsid w:val="00FF6C2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36465383-7ECA-446C-BD0B-57FA656F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6E1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9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8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50E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50E19"/>
    <w:rPr>
      <w:color w:val="954F72" w:themeColor="followedHyperlink"/>
      <w:u w:val="single"/>
    </w:rPr>
  </w:style>
  <w:style w:type="paragraph" w:customStyle="1" w:styleId="3Text">
    <w:name w:val="3Text"/>
    <w:basedOn w:val="Normln"/>
    <w:link w:val="3TextChar"/>
    <w:qFormat/>
    <w:rsid w:val="00B673F3"/>
    <w:p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3TextChar">
    <w:name w:val="3Text Char"/>
    <w:basedOn w:val="Standardnpsmoodstavce"/>
    <w:link w:val="3Text"/>
    <w:rsid w:val="00B673F3"/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E3BB4-3BB1-4DB2-8832-E05804252CC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c3a98ed-4a2c-4943-9ca0-5c1cd5b6915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11</Pages>
  <Words>1667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dc:description/>
  <cp:lastModifiedBy>Jarošová Diana (ÚMČ Praha 10)</cp:lastModifiedBy>
  <cp:revision>26</cp:revision>
  <cp:lastPrinted>2025-11-26T08:41:00Z</cp:lastPrinted>
  <dcterms:created xsi:type="dcterms:W3CDTF">2025-11-24T13:41:00Z</dcterms:created>
  <dcterms:modified xsi:type="dcterms:W3CDTF">2025-12-08T09:54:00Z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